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556D1" w14:textId="77777777" w:rsidR="00725AD5" w:rsidRPr="00233C9B" w:rsidRDefault="00725AD5" w:rsidP="001C0CEF">
      <w:pPr>
        <w:jc w:val="both"/>
        <w:rPr>
          <w:rStyle w:val="Pogrubienie"/>
          <w:color w:val="FF0000"/>
          <w:sz w:val="40"/>
          <w:szCs w:val="40"/>
          <w:lang w:val="pl-PL"/>
        </w:rPr>
      </w:pPr>
    </w:p>
    <w:p w14:paraId="0DEC9D51" w14:textId="77777777" w:rsidR="001C0CEF" w:rsidRDefault="001C0CEF" w:rsidP="001C0CEF">
      <w:pPr>
        <w:jc w:val="right"/>
        <w:rPr>
          <w:rFonts w:cstheme="minorHAnsi"/>
          <w:lang w:val="pl-PL"/>
        </w:rPr>
      </w:pPr>
      <w:bookmarkStart w:id="0" w:name="_Hlk531946624"/>
    </w:p>
    <w:p w14:paraId="21091631" w14:textId="74F5311E" w:rsidR="001C0CEF" w:rsidRDefault="001C0CEF" w:rsidP="001C0CEF">
      <w:pPr>
        <w:jc w:val="right"/>
        <w:rPr>
          <w:rFonts w:cstheme="minorHAnsi"/>
          <w:lang w:val="pl-PL"/>
        </w:rPr>
      </w:pPr>
      <w:r w:rsidRPr="001C0CEF">
        <w:rPr>
          <w:rFonts w:cstheme="minorHAnsi"/>
          <w:lang w:val="pl-PL"/>
        </w:rPr>
        <w:t>17 listopada 2020 r.</w:t>
      </w:r>
    </w:p>
    <w:p w14:paraId="62E06727" w14:textId="77777777" w:rsidR="001C0CEF" w:rsidRPr="001C0CEF" w:rsidRDefault="001C0CEF" w:rsidP="001C0CEF">
      <w:pPr>
        <w:jc w:val="right"/>
        <w:rPr>
          <w:rFonts w:cstheme="minorHAnsi"/>
          <w:lang w:val="pl-PL"/>
        </w:rPr>
      </w:pPr>
    </w:p>
    <w:p w14:paraId="76F43FF3" w14:textId="1AA758DF" w:rsidR="00EB46CD" w:rsidRPr="00233C9B" w:rsidRDefault="00FB6657" w:rsidP="001C0CEF">
      <w:pPr>
        <w:jc w:val="both"/>
        <w:rPr>
          <w:rFonts w:cstheme="minorHAnsi"/>
          <w:b/>
          <w:bCs/>
          <w:sz w:val="40"/>
          <w:szCs w:val="40"/>
          <w:lang w:val="pl-PL"/>
        </w:rPr>
      </w:pPr>
      <w:r w:rsidRPr="00233C9B">
        <w:rPr>
          <w:rFonts w:cstheme="minorHAnsi"/>
          <w:b/>
          <w:bCs/>
          <w:sz w:val="40"/>
          <w:szCs w:val="40"/>
          <w:lang w:val="pl-PL"/>
        </w:rPr>
        <w:t>Branża muzyczna zapewnia 2 m</w:t>
      </w:r>
      <w:r w:rsidR="00496D69">
        <w:rPr>
          <w:rFonts w:cstheme="minorHAnsi"/>
          <w:b/>
          <w:bCs/>
          <w:sz w:val="40"/>
          <w:szCs w:val="40"/>
          <w:lang w:val="pl-PL"/>
        </w:rPr>
        <w:t>iliony</w:t>
      </w:r>
      <w:r w:rsidRPr="00233C9B">
        <w:rPr>
          <w:rFonts w:cstheme="minorHAnsi"/>
          <w:b/>
          <w:bCs/>
          <w:sz w:val="40"/>
          <w:szCs w:val="40"/>
          <w:lang w:val="pl-PL"/>
        </w:rPr>
        <w:t xml:space="preserve"> miejsc pracy i wnosi 81,9 miliarda euro rocznie do gospodarki UE i Wielkiej Brytanii – wynika z raportu Oxford </w:t>
      </w:r>
      <w:proofErr w:type="spellStart"/>
      <w:r w:rsidRPr="00233C9B">
        <w:rPr>
          <w:rFonts w:cstheme="minorHAnsi"/>
          <w:b/>
          <w:bCs/>
          <w:sz w:val="40"/>
          <w:szCs w:val="40"/>
          <w:lang w:val="pl-PL"/>
        </w:rPr>
        <w:t>Economics</w:t>
      </w:r>
      <w:proofErr w:type="spellEnd"/>
    </w:p>
    <w:p w14:paraId="54DF6EB8" w14:textId="77777777" w:rsidR="001C0CEF" w:rsidRDefault="001C0CEF" w:rsidP="001C0CEF">
      <w:pPr>
        <w:jc w:val="both"/>
        <w:rPr>
          <w:rFonts w:cstheme="minorHAnsi"/>
          <w:i/>
          <w:iCs/>
          <w:lang w:val="pl-PL"/>
        </w:rPr>
      </w:pPr>
    </w:p>
    <w:p w14:paraId="13463AD3" w14:textId="0798570C" w:rsidR="00EB46CD" w:rsidRPr="00FB7C22" w:rsidRDefault="00FB6657" w:rsidP="001C0CEF">
      <w:pPr>
        <w:jc w:val="both"/>
        <w:rPr>
          <w:rFonts w:cstheme="minorHAnsi"/>
          <w:b/>
          <w:bCs/>
          <w:lang w:val="pl-PL"/>
        </w:rPr>
      </w:pPr>
      <w:r w:rsidRPr="00FB7C22">
        <w:rPr>
          <w:rFonts w:cstheme="minorHAnsi"/>
          <w:b/>
          <w:bCs/>
          <w:lang w:val="pl-PL"/>
        </w:rPr>
        <w:t xml:space="preserve">Branża muzyczna zapewnia </w:t>
      </w:r>
      <w:r w:rsidR="00FB7C22">
        <w:rPr>
          <w:rFonts w:cstheme="minorHAnsi"/>
          <w:b/>
          <w:bCs/>
          <w:lang w:val="pl-PL"/>
        </w:rPr>
        <w:t>2</w:t>
      </w:r>
      <w:r w:rsidRPr="00FB7C22">
        <w:rPr>
          <w:rFonts w:cstheme="minorHAnsi"/>
          <w:b/>
          <w:bCs/>
          <w:lang w:val="pl-PL"/>
        </w:rPr>
        <w:t xml:space="preserve"> miliony miejsc pracy </w:t>
      </w:r>
      <w:r w:rsidR="001C0CEF" w:rsidRPr="00FB7C22">
        <w:rPr>
          <w:rFonts w:cstheme="minorHAnsi"/>
          <w:b/>
          <w:bCs/>
          <w:lang w:val="pl-PL"/>
        </w:rPr>
        <w:t>i</w:t>
      </w:r>
      <w:r w:rsidRPr="00FB7C22">
        <w:rPr>
          <w:rFonts w:cstheme="minorHAnsi"/>
          <w:b/>
          <w:bCs/>
          <w:lang w:val="pl-PL"/>
        </w:rPr>
        <w:t xml:space="preserve"> wnosi 81,9 m</w:t>
      </w:r>
      <w:r w:rsidR="00E831D6" w:rsidRPr="00FB7C22">
        <w:rPr>
          <w:rFonts w:cstheme="minorHAnsi"/>
          <w:b/>
          <w:bCs/>
          <w:lang w:val="pl-PL"/>
        </w:rPr>
        <w:t>ld</w:t>
      </w:r>
      <w:r w:rsidRPr="00FB7C22">
        <w:rPr>
          <w:rFonts w:cstheme="minorHAnsi"/>
          <w:b/>
          <w:bCs/>
          <w:lang w:val="pl-PL"/>
        </w:rPr>
        <w:t xml:space="preserve"> euro rocznie do gospodarki</w:t>
      </w:r>
      <w:r w:rsidR="008E1CFA" w:rsidRPr="00FB7C22">
        <w:rPr>
          <w:rFonts w:cstheme="minorHAnsi"/>
          <w:b/>
          <w:bCs/>
          <w:lang w:val="pl-PL"/>
        </w:rPr>
        <w:t xml:space="preserve"> </w:t>
      </w:r>
      <w:r w:rsidRPr="00FB7C22">
        <w:rPr>
          <w:rFonts w:cstheme="minorHAnsi"/>
          <w:b/>
          <w:bCs/>
          <w:lang w:val="pl-PL"/>
        </w:rPr>
        <w:t xml:space="preserve">27 państw członkowskich UE i Wielkiej Brytanii </w:t>
      </w:r>
      <w:r w:rsidR="00233C9B" w:rsidRPr="00FB7C22">
        <w:rPr>
          <w:rFonts w:cstheme="minorHAnsi"/>
          <w:b/>
          <w:bCs/>
          <w:lang w:val="pl-PL"/>
        </w:rPr>
        <w:t xml:space="preserve">(28 UE) </w:t>
      </w:r>
      <w:r w:rsidRPr="00FB7C22">
        <w:rPr>
          <w:rFonts w:cstheme="minorHAnsi"/>
          <w:b/>
          <w:bCs/>
          <w:lang w:val="pl-PL"/>
        </w:rPr>
        <w:t xml:space="preserve">– wynika z opublikowanego raportu </w:t>
      </w:r>
      <w:r w:rsidR="002B25FE" w:rsidRPr="00FB7C22">
        <w:rPr>
          <w:rFonts w:cstheme="minorHAnsi"/>
          <w:b/>
          <w:bCs/>
          <w:lang w:val="pl-PL"/>
        </w:rPr>
        <w:t>„</w:t>
      </w:r>
      <w:r w:rsidRPr="00FB7C22">
        <w:rPr>
          <w:rFonts w:cstheme="minorHAnsi"/>
          <w:b/>
          <w:bCs/>
          <w:lang w:val="pl-PL"/>
        </w:rPr>
        <w:t>Znaczenie ekonomiczne branży muzycznej w Europie”, przygotowanego przez</w:t>
      </w:r>
      <w:r w:rsidR="00233C9B" w:rsidRPr="00FB7C22">
        <w:rPr>
          <w:rFonts w:cstheme="minorHAnsi"/>
          <w:b/>
          <w:bCs/>
          <w:lang w:val="pl-PL"/>
        </w:rPr>
        <w:t xml:space="preserve"> Oxford </w:t>
      </w:r>
      <w:proofErr w:type="spellStart"/>
      <w:r w:rsidR="00233C9B" w:rsidRPr="00FB7C22">
        <w:rPr>
          <w:rFonts w:cstheme="minorHAnsi"/>
          <w:b/>
          <w:bCs/>
          <w:lang w:val="pl-PL"/>
        </w:rPr>
        <w:t>Economics</w:t>
      </w:r>
      <w:proofErr w:type="spellEnd"/>
      <w:r w:rsidR="00233C9B" w:rsidRPr="00FB7C22">
        <w:rPr>
          <w:rFonts w:cstheme="minorHAnsi"/>
          <w:b/>
          <w:bCs/>
          <w:lang w:val="pl-PL"/>
        </w:rPr>
        <w:t xml:space="preserve"> na zlecenie Międzynarodowej Federacji Przemysłu Fonograficznego </w:t>
      </w:r>
      <w:r w:rsidR="0094513B" w:rsidRPr="00FB7C22">
        <w:rPr>
          <w:rFonts w:cstheme="minorHAnsi"/>
          <w:b/>
          <w:bCs/>
          <w:lang w:val="pl-PL"/>
        </w:rPr>
        <w:t>(</w:t>
      </w:r>
      <w:r w:rsidR="00233C9B" w:rsidRPr="00FB7C22">
        <w:rPr>
          <w:rFonts w:cstheme="minorHAnsi"/>
          <w:b/>
          <w:bCs/>
          <w:lang w:val="pl-PL"/>
        </w:rPr>
        <w:t>IFPI</w:t>
      </w:r>
      <w:r w:rsidR="0094513B" w:rsidRPr="00FB7C22">
        <w:rPr>
          <w:rFonts w:cstheme="minorHAnsi"/>
          <w:b/>
          <w:bCs/>
          <w:lang w:val="pl-PL"/>
        </w:rPr>
        <w:t>)</w:t>
      </w:r>
      <w:r w:rsidR="00EB46CD" w:rsidRPr="00FB7C22">
        <w:rPr>
          <w:rFonts w:cstheme="minorHAnsi"/>
          <w:b/>
          <w:bCs/>
          <w:lang w:val="pl-PL"/>
        </w:rPr>
        <w:t>.</w:t>
      </w:r>
    </w:p>
    <w:p w14:paraId="6E30B4C4" w14:textId="77777777" w:rsidR="00FB7C22" w:rsidRDefault="00FB7C22" w:rsidP="00FB7C22">
      <w:pPr>
        <w:jc w:val="center"/>
        <w:rPr>
          <w:rFonts w:cstheme="minorHAnsi"/>
          <w:lang w:val="pl-PL"/>
        </w:rPr>
      </w:pPr>
    </w:p>
    <w:p w14:paraId="5F820736" w14:textId="148011B2" w:rsidR="00FB7C22" w:rsidRDefault="00FB7C22" w:rsidP="00FB7C22">
      <w:pPr>
        <w:jc w:val="center"/>
        <w:rPr>
          <w:rFonts w:cstheme="minorHAnsi"/>
          <w:lang w:val="pl-PL"/>
        </w:rPr>
      </w:pPr>
      <w:r w:rsidRPr="00EB7345">
        <w:rPr>
          <w:rFonts w:cstheme="minorHAnsi"/>
          <w:lang w:val="pl-PL"/>
        </w:rPr>
        <w:t xml:space="preserve">Pełen raport dostępny jest </w:t>
      </w:r>
      <w:hyperlink r:id="rId10" w:history="1">
        <w:r w:rsidR="005473FA" w:rsidRPr="005473FA">
          <w:rPr>
            <w:rStyle w:val="Hipercze"/>
            <w:rFonts w:cstheme="minorHAnsi"/>
            <w:lang w:val="pl-PL"/>
          </w:rPr>
          <w:t>tutaj</w:t>
        </w:r>
      </w:hyperlink>
    </w:p>
    <w:p w14:paraId="1A5B9902" w14:textId="3D9C33FB" w:rsidR="00FB7C22" w:rsidRPr="00EB7345" w:rsidRDefault="00FB7C22" w:rsidP="00FB7C22">
      <w:pPr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Infografika dostępna jest </w:t>
      </w:r>
      <w:hyperlink r:id="rId11" w:history="1">
        <w:r w:rsidR="005473FA" w:rsidRPr="005473FA">
          <w:rPr>
            <w:rStyle w:val="Hipercze"/>
            <w:rFonts w:cstheme="minorHAnsi"/>
            <w:lang w:val="pl-PL"/>
          </w:rPr>
          <w:t>tutaj</w:t>
        </w:r>
      </w:hyperlink>
    </w:p>
    <w:p w14:paraId="28159857" w14:textId="77777777" w:rsidR="00FB7C22" w:rsidRPr="00233C9B" w:rsidRDefault="00FB7C22" w:rsidP="001C0CEF">
      <w:pPr>
        <w:jc w:val="both"/>
        <w:rPr>
          <w:rFonts w:cstheme="minorHAnsi"/>
          <w:lang w:val="pl-PL"/>
        </w:rPr>
      </w:pPr>
    </w:p>
    <w:p w14:paraId="084B79B6" w14:textId="379C7B6B" w:rsidR="00EB46CD" w:rsidRPr="00233C9B" w:rsidRDefault="008E1CFA" w:rsidP="001C0CEF">
      <w:pPr>
        <w:jc w:val="both"/>
        <w:rPr>
          <w:lang w:val="pl-PL"/>
        </w:rPr>
      </w:pPr>
      <w:r>
        <w:rPr>
          <w:rFonts w:cstheme="minorHAnsi"/>
          <w:lang w:val="pl-PL"/>
        </w:rPr>
        <w:t xml:space="preserve">Analiza </w:t>
      </w:r>
      <w:r w:rsidR="00496D69">
        <w:rPr>
          <w:rFonts w:cstheme="minorHAnsi"/>
          <w:lang w:val="pl-PL"/>
        </w:rPr>
        <w:t xml:space="preserve">przeprowadzona na </w:t>
      </w:r>
      <w:r w:rsidR="00233C9B" w:rsidRPr="00233C9B">
        <w:rPr>
          <w:rFonts w:cstheme="minorHAnsi"/>
          <w:lang w:val="pl-PL"/>
        </w:rPr>
        <w:t xml:space="preserve">danych z 2018 roku </w:t>
      </w:r>
      <w:r>
        <w:rPr>
          <w:rFonts w:cstheme="minorHAnsi"/>
          <w:lang w:val="pl-PL"/>
        </w:rPr>
        <w:t>pokazała</w:t>
      </w:r>
      <w:r w:rsidR="00233C9B" w:rsidRPr="00233C9B">
        <w:rPr>
          <w:rFonts w:cstheme="minorHAnsi"/>
          <w:lang w:val="pl-PL"/>
        </w:rPr>
        <w:t>, że roczny wkład ekonomiczny sektora muzycznego w gospodarkę 28 UE obejmuje</w:t>
      </w:r>
      <w:r w:rsidR="00EB46CD" w:rsidRPr="00233C9B">
        <w:rPr>
          <w:lang w:val="pl-PL"/>
        </w:rPr>
        <w:t>:</w:t>
      </w:r>
    </w:p>
    <w:p w14:paraId="5288F26A" w14:textId="0937788A" w:rsidR="00EB46CD" w:rsidRPr="00233C9B" w:rsidRDefault="008E1CFA" w:rsidP="001C0CEF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B7C22">
        <w:rPr>
          <w:rFonts w:cstheme="minorHAnsi"/>
          <w:b/>
          <w:bCs/>
          <w:lang w:val="pl-PL"/>
        </w:rPr>
        <w:t>2</w:t>
      </w:r>
      <w:r w:rsidR="00233C9B" w:rsidRPr="00233C9B">
        <w:rPr>
          <w:rFonts w:cstheme="minorHAnsi"/>
          <w:lang w:val="pl-PL"/>
        </w:rPr>
        <w:t xml:space="preserve"> </w:t>
      </w:r>
      <w:r w:rsidR="00233C9B" w:rsidRPr="00FB7C22">
        <w:rPr>
          <w:rFonts w:cstheme="minorHAnsi"/>
          <w:b/>
          <w:bCs/>
          <w:lang w:val="pl-PL"/>
        </w:rPr>
        <w:t>miliony</w:t>
      </w:r>
      <w:r w:rsidR="00233C9B" w:rsidRPr="00233C9B">
        <w:rPr>
          <w:rFonts w:cstheme="minorHAnsi"/>
          <w:lang w:val="pl-PL"/>
        </w:rPr>
        <w:t xml:space="preserve"> miejsc pracy</w:t>
      </w:r>
    </w:p>
    <w:p w14:paraId="6AC8A84B" w14:textId="2F928A9F" w:rsidR="00EB46CD" w:rsidRPr="00233C9B" w:rsidRDefault="00233C9B" w:rsidP="001C0CEF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B7C22">
        <w:rPr>
          <w:rFonts w:cstheme="minorHAnsi"/>
          <w:b/>
          <w:bCs/>
          <w:lang w:val="pl-PL"/>
        </w:rPr>
        <w:t>81,9 m</w:t>
      </w:r>
      <w:r w:rsidR="00E831D6" w:rsidRPr="00FB7C22">
        <w:rPr>
          <w:rFonts w:cstheme="minorHAnsi"/>
          <w:b/>
          <w:bCs/>
          <w:lang w:val="pl-PL"/>
        </w:rPr>
        <w:t>ld</w:t>
      </w:r>
      <w:r w:rsidRPr="00FB7C22">
        <w:rPr>
          <w:rFonts w:cstheme="minorHAnsi"/>
          <w:b/>
          <w:bCs/>
          <w:lang w:val="pl-PL"/>
        </w:rPr>
        <w:t xml:space="preserve"> euro</w:t>
      </w:r>
      <w:r w:rsidRPr="00233C9B">
        <w:rPr>
          <w:rFonts w:cstheme="minorHAnsi"/>
          <w:lang w:val="pl-PL"/>
        </w:rPr>
        <w:t xml:space="preserve"> wartości dodanej brutto</w:t>
      </w:r>
      <w:r w:rsidR="008E1CFA">
        <w:rPr>
          <w:rFonts w:cstheme="minorHAnsi"/>
          <w:lang w:val="pl-PL"/>
        </w:rPr>
        <w:t xml:space="preserve"> jako wkład w</w:t>
      </w:r>
      <w:r w:rsidRPr="00233C9B">
        <w:rPr>
          <w:rFonts w:cstheme="minorHAnsi"/>
          <w:lang w:val="pl-PL"/>
        </w:rPr>
        <w:t xml:space="preserve"> PKB</w:t>
      </w:r>
    </w:p>
    <w:p w14:paraId="2EED32A5" w14:textId="25C96263" w:rsidR="00EB46CD" w:rsidRPr="00233C9B" w:rsidRDefault="00FB7C22" w:rsidP="001C0CEF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B7C22">
        <w:rPr>
          <w:rFonts w:cs="Arial"/>
          <w:b/>
          <w:bCs/>
          <w:lang w:val="pl-PL"/>
        </w:rPr>
        <w:t>9,7 mld euro</w:t>
      </w:r>
      <w:r>
        <w:rPr>
          <w:rFonts w:cs="Arial"/>
          <w:lang w:val="pl-PL"/>
        </w:rPr>
        <w:t xml:space="preserve"> wartość </w:t>
      </w:r>
      <w:r w:rsidR="00496D69">
        <w:rPr>
          <w:rFonts w:cs="Arial"/>
          <w:lang w:val="pl-PL"/>
        </w:rPr>
        <w:t>e</w:t>
      </w:r>
      <w:r w:rsidR="00233C9B" w:rsidRPr="00233C9B">
        <w:rPr>
          <w:rFonts w:cs="Arial"/>
          <w:lang w:val="pl-PL"/>
        </w:rPr>
        <w:t>ksport</w:t>
      </w:r>
      <w:r>
        <w:rPr>
          <w:rFonts w:cs="Arial"/>
          <w:lang w:val="pl-PL"/>
        </w:rPr>
        <w:t>u</w:t>
      </w:r>
      <w:r w:rsidR="00233C9B" w:rsidRPr="00233C9B">
        <w:rPr>
          <w:rFonts w:cs="Arial"/>
          <w:lang w:val="pl-PL"/>
        </w:rPr>
        <w:t xml:space="preserve"> produktów i usług do krajów </w:t>
      </w:r>
      <w:r w:rsidR="0094513B">
        <w:rPr>
          <w:rFonts w:cs="Arial"/>
          <w:lang w:val="pl-PL"/>
        </w:rPr>
        <w:t>s</w:t>
      </w:r>
      <w:r w:rsidR="00233C9B" w:rsidRPr="00233C9B">
        <w:rPr>
          <w:rFonts w:cs="Arial"/>
          <w:lang w:val="pl-PL"/>
        </w:rPr>
        <w:t>poza 28 UE</w:t>
      </w:r>
    </w:p>
    <w:p w14:paraId="5CBC9EE9" w14:textId="3017F03E" w:rsidR="00EB46CD" w:rsidRPr="00F22D55" w:rsidRDefault="00233C9B" w:rsidP="001C0CEF">
      <w:pPr>
        <w:jc w:val="both"/>
        <w:rPr>
          <w:rFonts w:cstheme="minorHAnsi"/>
          <w:lang w:val="pl-PL"/>
        </w:rPr>
      </w:pPr>
      <w:r w:rsidRPr="008E1CFA">
        <w:rPr>
          <w:rFonts w:cstheme="minorHAnsi"/>
          <w:bCs/>
          <w:lang w:val="pl-PL"/>
        </w:rPr>
        <w:t>Szefowa IFPI</w:t>
      </w:r>
      <w:r w:rsidRPr="008E1CFA">
        <w:rPr>
          <w:rFonts w:cstheme="minorHAnsi"/>
          <w:b/>
          <w:lang w:val="pl-PL"/>
        </w:rPr>
        <w:t xml:space="preserve"> </w:t>
      </w:r>
      <w:r w:rsidR="00EB46CD" w:rsidRPr="008E1CFA">
        <w:rPr>
          <w:rFonts w:cstheme="minorHAnsi"/>
          <w:b/>
          <w:lang w:val="pl-PL"/>
        </w:rPr>
        <w:t>Frances Moore</w:t>
      </w:r>
      <w:r w:rsidRPr="008E1CFA">
        <w:rPr>
          <w:rFonts w:cstheme="minorHAnsi"/>
          <w:b/>
          <w:lang w:val="pl-PL"/>
        </w:rPr>
        <w:t xml:space="preserve"> </w:t>
      </w:r>
      <w:r w:rsidRPr="008E1CFA">
        <w:rPr>
          <w:rFonts w:cstheme="minorHAnsi"/>
          <w:bCs/>
          <w:lang w:val="pl-PL"/>
        </w:rPr>
        <w:t>skomentowała raport:</w:t>
      </w:r>
      <w:r w:rsidR="00D31EF6" w:rsidRPr="008E1CFA">
        <w:rPr>
          <w:rFonts w:cstheme="minorHAnsi"/>
          <w:bCs/>
          <w:lang w:val="pl-PL"/>
        </w:rPr>
        <w:t xml:space="preserve"> </w:t>
      </w:r>
      <w:r w:rsidR="00D31EF6" w:rsidRPr="001C0CEF">
        <w:rPr>
          <w:rFonts w:cstheme="minorHAnsi"/>
          <w:bCs/>
          <w:i/>
          <w:iCs/>
          <w:lang w:val="pl-PL"/>
        </w:rPr>
        <w:t xml:space="preserve">Muzyka </w:t>
      </w:r>
      <w:r w:rsidR="008E1CFA" w:rsidRPr="001C0CEF">
        <w:rPr>
          <w:rFonts w:cstheme="minorHAnsi"/>
          <w:bCs/>
          <w:i/>
          <w:iCs/>
          <w:lang w:val="pl-PL"/>
        </w:rPr>
        <w:t>to</w:t>
      </w:r>
      <w:r w:rsidR="00D31EF6" w:rsidRPr="001C0CEF">
        <w:rPr>
          <w:rFonts w:cstheme="minorHAnsi"/>
          <w:bCs/>
          <w:i/>
          <w:iCs/>
          <w:lang w:val="pl-PL"/>
        </w:rPr>
        <w:t xml:space="preserve"> </w:t>
      </w:r>
      <w:r w:rsidR="008E1CFA" w:rsidRPr="001C0CEF">
        <w:rPr>
          <w:rFonts w:cstheme="minorHAnsi"/>
          <w:bCs/>
          <w:i/>
          <w:iCs/>
          <w:lang w:val="pl-PL"/>
        </w:rPr>
        <w:t xml:space="preserve">ważny element </w:t>
      </w:r>
      <w:r w:rsidR="00D31EF6" w:rsidRPr="001C0CEF">
        <w:rPr>
          <w:rFonts w:cstheme="minorHAnsi"/>
          <w:bCs/>
          <w:i/>
          <w:iCs/>
          <w:lang w:val="pl-PL"/>
        </w:rPr>
        <w:t>Europy</w:t>
      </w:r>
      <w:r w:rsidR="008E1CFA" w:rsidRPr="001C0CEF">
        <w:rPr>
          <w:rFonts w:cstheme="minorHAnsi"/>
          <w:bCs/>
          <w:i/>
          <w:iCs/>
          <w:lang w:val="pl-PL"/>
        </w:rPr>
        <w:t xml:space="preserve">, jej tożsamości </w:t>
      </w:r>
      <w:r w:rsidR="0094513B">
        <w:rPr>
          <w:rFonts w:cstheme="minorHAnsi"/>
          <w:bCs/>
          <w:i/>
          <w:iCs/>
          <w:lang w:val="pl-PL"/>
        </w:rPr>
        <w:t>i</w:t>
      </w:r>
      <w:r w:rsidR="008E1CFA" w:rsidRPr="001C0CEF">
        <w:rPr>
          <w:rFonts w:cstheme="minorHAnsi"/>
          <w:bCs/>
          <w:i/>
          <w:iCs/>
          <w:lang w:val="pl-PL"/>
        </w:rPr>
        <w:t xml:space="preserve"> kultury. </w:t>
      </w:r>
      <w:r w:rsidR="00F22D55" w:rsidRPr="001C0CEF">
        <w:rPr>
          <w:rFonts w:cstheme="minorHAnsi"/>
          <w:bCs/>
          <w:i/>
          <w:iCs/>
          <w:lang w:val="pl-PL"/>
        </w:rPr>
        <w:t xml:space="preserve">Wartości muzyki często nie da się oszacować – muzyka nas ożywia i ulecza. </w:t>
      </w:r>
      <w:r w:rsidR="00F22D55" w:rsidRPr="001C0CEF">
        <w:rPr>
          <w:rFonts w:cstheme="minorHAnsi"/>
          <w:i/>
          <w:iCs/>
          <w:lang w:val="pl-PL"/>
        </w:rPr>
        <w:t xml:space="preserve">Co więcej, jak pokazuje przygotowany przez </w:t>
      </w:r>
      <w:r w:rsidR="00F22D55" w:rsidRPr="001C0CEF">
        <w:rPr>
          <w:i/>
          <w:iCs/>
          <w:lang w:val="pl-PL"/>
        </w:rPr>
        <w:t xml:space="preserve">Oxford </w:t>
      </w:r>
      <w:proofErr w:type="spellStart"/>
      <w:r w:rsidR="00F22D55" w:rsidRPr="001C0CEF">
        <w:rPr>
          <w:i/>
          <w:iCs/>
          <w:lang w:val="pl-PL"/>
        </w:rPr>
        <w:t>Economics</w:t>
      </w:r>
      <w:proofErr w:type="spellEnd"/>
      <w:r w:rsidR="00F22D55" w:rsidRPr="001C0CEF">
        <w:rPr>
          <w:rFonts w:cstheme="minorHAnsi"/>
          <w:i/>
          <w:iCs/>
          <w:lang w:val="pl-PL"/>
        </w:rPr>
        <w:t xml:space="preserve"> pierwszy tego rodzaju raport,</w:t>
      </w:r>
      <w:r w:rsidR="00F22D55" w:rsidRPr="001C0CEF">
        <w:rPr>
          <w:i/>
          <w:iCs/>
          <w:lang w:val="pl-PL"/>
        </w:rPr>
        <w:t xml:space="preserve"> branża muzyczna wnosi znaczący wkład w gospodarkę Unii Europejskiej i Wielkiej Brytanii – daje zatrudnienie, przyczynia się do wzrostu PKB, generuje pokaźne przychody z tytułu podatków i rozwija eksport.</w:t>
      </w:r>
    </w:p>
    <w:p w14:paraId="4B29289C" w14:textId="3AF20007" w:rsidR="00EB46CD" w:rsidRPr="001C0CEF" w:rsidRDefault="00F22D55" w:rsidP="001C0CEF">
      <w:pPr>
        <w:jc w:val="both"/>
        <w:rPr>
          <w:rFonts w:cstheme="minorHAnsi"/>
          <w:i/>
          <w:iCs/>
          <w:lang w:val="pl-PL"/>
        </w:rPr>
      </w:pPr>
      <w:r w:rsidRPr="001C0CEF">
        <w:rPr>
          <w:rFonts w:cstheme="minorHAnsi"/>
          <w:i/>
          <w:iCs/>
          <w:lang w:val="pl-PL"/>
        </w:rPr>
        <w:t xml:space="preserve">U podstaw tego </w:t>
      </w:r>
      <w:r w:rsidR="007B4AAB" w:rsidRPr="001C0CEF">
        <w:rPr>
          <w:rFonts w:cstheme="minorHAnsi"/>
          <w:i/>
          <w:iCs/>
          <w:lang w:val="pl-PL"/>
        </w:rPr>
        <w:t xml:space="preserve">wkładu ekonomicznego leży </w:t>
      </w:r>
      <w:r w:rsidR="00EB46CD" w:rsidRPr="001C0CEF">
        <w:rPr>
          <w:i/>
          <w:iCs/>
          <w:lang w:val="pl-PL"/>
        </w:rPr>
        <w:t>7</w:t>
      </w:r>
      <w:r w:rsidR="007B4AAB" w:rsidRPr="001C0CEF">
        <w:rPr>
          <w:i/>
          <w:iCs/>
          <w:lang w:val="pl-PL"/>
        </w:rPr>
        <w:t xml:space="preserve"> </w:t>
      </w:r>
      <w:r w:rsidR="00EB46CD" w:rsidRPr="001C0CEF">
        <w:rPr>
          <w:i/>
          <w:iCs/>
          <w:lang w:val="pl-PL"/>
        </w:rPr>
        <w:t xml:space="preserve">400 </w:t>
      </w:r>
      <w:r w:rsidR="007B4AAB" w:rsidRPr="001C0CEF">
        <w:rPr>
          <w:i/>
          <w:iCs/>
          <w:lang w:val="pl-PL"/>
        </w:rPr>
        <w:t xml:space="preserve">wytwórni płytowych w UE i Wielkiej Brytanii. Firmy te nie tylko zatrudniają niemal </w:t>
      </w:r>
      <w:r w:rsidR="00EB46CD" w:rsidRPr="001C0CEF">
        <w:rPr>
          <w:rFonts w:cstheme="minorHAnsi"/>
          <w:i/>
          <w:iCs/>
          <w:lang w:val="pl-PL"/>
        </w:rPr>
        <w:t>45</w:t>
      </w:r>
      <w:r w:rsidR="007B4AAB" w:rsidRPr="001C0CEF">
        <w:rPr>
          <w:rFonts w:cstheme="minorHAnsi"/>
          <w:i/>
          <w:iCs/>
          <w:lang w:val="pl-PL"/>
        </w:rPr>
        <w:t xml:space="preserve"> </w:t>
      </w:r>
      <w:r w:rsidR="00EB46CD" w:rsidRPr="001C0CEF">
        <w:rPr>
          <w:rFonts w:cstheme="minorHAnsi"/>
          <w:i/>
          <w:iCs/>
          <w:lang w:val="pl-PL"/>
        </w:rPr>
        <w:t xml:space="preserve">000 </w:t>
      </w:r>
      <w:r w:rsidR="007B4AAB" w:rsidRPr="001C0CEF">
        <w:rPr>
          <w:rFonts w:cstheme="minorHAnsi"/>
          <w:i/>
          <w:iCs/>
          <w:lang w:val="pl-PL"/>
        </w:rPr>
        <w:t>osób w całej Europie, ale także inwestują w inne obszary sektora muzycznego i przyczyniają się do wzrostu eksportu europejskich produktów</w:t>
      </w:r>
      <w:r w:rsidR="00EB46CD" w:rsidRPr="001C0CEF">
        <w:rPr>
          <w:rFonts w:cstheme="minorHAnsi"/>
          <w:i/>
          <w:iCs/>
          <w:lang w:val="pl-PL"/>
        </w:rPr>
        <w:t>.</w:t>
      </w:r>
    </w:p>
    <w:p w14:paraId="0507CBF5" w14:textId="68F5EF45" w:rsidR="00EB46CD" w:rsidRPr="001C0CEF" w:rsidRDefault="007B4AAB" w:rsidP="001C0CEF">
      <w:pPr>
        <w:jc w:val="both"/>
        <w:rPr>
          <w:i/>
          <w:iCs/>
          <w:lang w:val="pl-PL"/>
        </w:rPr>
      </w:pPr>
      <w:r w:rsidRPr="001C0CEF">
        <w:rPr>
          <w:i/>
          <w:iCs/>
          <w:lang w:val="pl-PL"/>
        </w:rPr>
        <w:t>Aby ten ważny dla Europy wkład przemysłu muzycznego mógł być utrzymany, należy zadbać o to, aby ci, którzy tworzą i inwestują w muzykę</w:t>
      </w:r>
      <w:r w:rsidR="0094513B">
        <w:rPr>
          <w:i/>
          <w:iCs/>
          <w:lang w:val="pl-PL"/>
        </w:rPr>
        <w:t>,</w:t>
      </w:r>
      <w:r w:rsidRPr="001C0CEF">
        <w:rPr>
          <w:i/>
          <w:iCs/>
          <w:lang w:val="pl-PL"/>
        </w:rPr>
        <w:t xml:space="preserve"> mieli uczciwy udział w jej wartości. Będzie to możliwe </w:t>
      </w:r>
      <w:r w:rsidR="00496D69" w:rsidRPr="001C0CEF">
        <w:rPr>
          <w:i/>
          <w:iCs/>
          <w:lang w:val="pl-PL"/>
        </w:rPr>
        <w:t xml:space="preserve">jedynie </w:t>
      </w:r>
      <w:r w:rsidRPr="001C0CEF">
        <w:rPr>
          <w:i/>
          <w:iCs/>
          <w:lang w:val="pl-PL"/>
        </w:rPr>
        <w:t xml:space="preserve">wówczas, gdy </w:t>
      </w:r>
      <w:r w:rsidR="00E8712E" w:rsidRPr="001C0CEF">
        <w:rPr>
          <w:i/>
          <w:iCs/>
          <w:lang w:val="pl-PL"/>
        </w:rPr>
        <w:t xml:space="preserve">Europa zapewni </w:t>
      </w:r>
      <w:r w:rsidRPr="001C0CEF">
        <w:rPr>
          <w:i/>
          <w:iCs/>
          <w:lang w:val="pl-PL"/>
        </w:rPr>
        <w:t>se</w:t>
      </w:r>
      <w:r w:rsidR="00E8712E" w:rsidRPr="001C0CEF">
        <w:rPr>
          <w:i/>
          <w:iCs/>
          <w:lang w:val="pl-PL"/>
        </w:rPr>
        <w:t>k</w:t>
      </w:r>
      <w:r w:rsidRPr="001C0CEF">
        <w:rPr>
          <w:i/>
          <w:iCs/>
          <w:lang w:val="pl-PL"/>
        </w:rPr>
        <w:t>tor</w:t>
      </w:r>
      <w:r w:rsidR="00E8712E" w:rsidRPr="001C0CEF">
        <w:rPr>
          <w:i/>
          <w:iCs/>
          <w:lang w:val="pl-PL"/>
        </w:rPr>
        <w:t>owi</w:t>
      </w:r>
      <w:r w:rsidRPr="001C0CEF">
        <w:rPr>
          <w:i/>
          <w:iCs/>
          <w:lang w:val="pl-PL"/>
        </w:rPr>
        <w:t xml:space="preserve"> muzyczn</w:t>
      </w:r>
      <w:r w:rsidR="00E8712E" w:rsidRPr="001C0CEF">
        <w:rPr>
          <w:i/>
          <w:iCs/>
          <w:lang w:val="pl-PL"/>
        </w:rPr>
        <w:t>emu</w:t>
      </w:r>
      <w:r w:rsidRPr="001C0CEF">
        <w:rPr>
          <w:i/>
          <w:iCs/>
          <w:lang w:val="pl-PL"/>
        </w:rPr>
        <w:t xml:space="preserve"> </w:t>
      </w:r>
      <w:r w:rsidR="00E8712E" w:rsidRPr="001C0CEF">
        <w:rPr>
          <w:i/>
          <w:iCs/>
          <w:lang w:val="pl-PL"/>
        </w:rPr>
        <w:t>uczciwe środowisko prawne i polityczne.</w:t>
      </w:r>
      <w:r w:rsidR="00496D69" w:rsidRPr="001C0CEF">
        <w:rPr>
          <w:i/>
          <w:iCs/>
          <w:lang w:val="pl-PL"/>
        </w:rPr>
        <w:t xml:space="preserve"> </w:t>
      </w:r>
      <w:r w:rsidR="00E8712E" w:rsidRPr="001C0CEF">
        <w:rPr>
          <w:i/>
          <w:iCs/>
          <w:lang w:val="pl-PL"/>
        </w:rPr>
        <w:t>Będziemy kontynuować naszą współpracę z legislatorami, aby to osiągnąć.</w:t>
      </w:r>
    </w:p>
    <w:p w14:paraId="17281CF8" w14:textId="1EF6FD5D" w:rsidR="00EB46CD" w:rsidRPr="00496D69" w:rsidRDefault="00EB46CD" w:rsidP="001C0CEF">
      <w:pPr>
        <w:jc w:val="both"/>
        <w:rPr>
          <w:lang w:val="pl-PL"/>
        </w:rPr>
      </w:pPr>
      <w:proofErr w:type="spellStart"/>
      <w:r w:rsidRPr="00E8712E">
        <w:rPr>
          <w:b/>
          <w:bCs/>
          <w:lang w:val="pl-PL"/>
        </w:rPr>
        <w:t>Pete</w:t>
      </w:r>
      <w:proofErr w:type="spellEnd"/>
      <w:r w:rsidRPr="00E8712E">
        <w:rPr>
          <w:b/>
          <w:bCs/>
          <w:lang w:val="pl-PL"/>
        </w:rPr>
        <w:t xml:space="preserve"> </w:t>
      </w:r>
      <w:proofErr w:type="spellStart"/>
      <w:r w:rsidRPr="00E8712E">
        <w:rPr>
          <w:b/>
          <w:bCs/>
          <w:lang w:val="pl-PL"/>
        </w:rPr>
        <w:t>Collings</w:t>
      </w:r>
      <w:proofErr w:type="spellEnd"/>
      <w:r w:rsidRPr="00E8712E">
        <w:rPr>
          <w:b/>
          <w:bCs/>
          <w:lang w:val="pl-PL"/>
        </w:rPr>
        <w:t xml:space="preserve">, </w:t>
      </w:r>
      <w:r w:rsidR="00E8712E" w:rsidRPr="00E8712E">
        <w:rPr>
          <w:b/>
          <w:bCs/>
          <w:lang w:val="pl-PL"/>
        </w:rPr>
        <w:t>dyrektor ds. doradztwa w zakresie wpływu ekonomicznego w</w:t>
      </w:r>
      <w:r w:rsidRPr="00E8712E">
        <w:rPr>
          <w:b/>
          <w:bCs/>
          <w:lang w:val="pl-PL"/>
        </w:rPr>
        <w:t xml:space="preserve"> Oxford </w:t>
      </w:r>
      <w:proofErr w:type="spellStart"/>
      <w:r w:rsidRPr="00E8712E">
        <w:rPr>
          <w:b/>
          <w:bCs/>
          <w:lang w:val="pl-PL"/>
        </w:rPr>
        <w:t>Economics</w:t>
      </w:r>
      <w:proofErr w:type="spellEnd"/>
      <w:r w:rsidRPr="00E8712E">
        <w:rPr>
          <w:b/>
          <w:bCs/>
          <w:lang w:val="pl-PL"/>
        </w:rPr>
        <w:t xml:space="preserve">, </w:t>
      </w:r>
      <w:r w:rsidR="00E8712E" w:rsidRPr="00E8712E">
        <w:rPr>
          <w:b/>
          <w:bCs/>
          <w:lang w:val="pl-PL"/>
        </w:rPr>
        <w:t>powiedział</w:t>
      </w:r>
      <w:r w:rsidRPr="00E831D6">
        <w:rPr>
          <w:lang w:val="pl-PL"/>
        </w:rPr>
        <w:t>:</w:t>
      </w:r>
      <w:r w:rsidRPr="00E8712E">
        <w:rPr>
          <w:b/>
          <w:bCs/>
          <w:lang w:val="pl-PL"/>
        </w:rPr>
        <w:t xml:space="preserve"> </w:t>
      </w:r>
      <w:r w:rsidR="00E8712E" w:rsidRPr="001C0CEF">
        <w:rPr>
          <w:i/>
          <w:iCs/>
          <w:lang w:val="pl-PL"/>
        </w:rPr>
        <w:t>Analizując współdziałanie sektora muzycznego z pozostałymi gałęziami gospodarki</w:t>
      </w:r>
      <w:r w:rsidR="0094513B">
        <w:rPr>
          <w:i/>
          <w:iCs/>
          <w:lang w:val="pl-PL"/>
        </w:rPr>
        <w:t>,</w:t>
      </w:r>
      <w:r w:rsidR="00E8712E" w:rsidRPr="001C0CEF">
        <w:rPr>
          <w:i/>
          <w:iCs/>
          <w:lang w:val="pl-PL"/>
        </w:rPr>
        <w:t xml:space="preserve"> nasze badanie pokazuje, w jaki sposób stymuluje on działalność gospodarczą, wspiera miejsca pracy i </w:t>
      </w:r>
      <w:r w:rsidR="00E8712E" w:rsidRPr="001C0CEF">
        <w:rPr>
          <w:i/>
          <w:iCs/>
          <w:lang w:val="pl-PL"/>
        </w:rPr>
        <w:lastRenderedPageBreak/>
        <w:t xml:space="preserve">generuje </w:t>
      </w:r>
      <w:r w:rsidR="00AA6348" w:rsidRPr="001C0CEF">
        <w:rPr>
          <w:i/>
          <w:iCs/>
          <w:lang w:val="pl-PL"/>
        </w:rPr>
        <w:t xml:space="preserve">wpływy </w:t>
      </w:r>
      <w:r w:rsidR="00E8712E" w:rsidRPr="001C0CEF">
        <w:rPr>
          <w:i/>
          <w:iCs/>
          <w:lang w:val="pl-PL"/>
        </w:rPr>
        <w:t xml:space="preserve">podatkowe w całej Europie. </w:t>
      </w:r>
      <w:r w:rsidR="00AA6348" w:rsidRPr="001C0CEF">
        <w:rPr>
          <w:i/>
          <w:iCs/>
          <w:lang w:val="pl-PL"/>
        </w:rPr>
        <w:t xml:space="preserve">W ten </w:t>
      </w:r>
      <w:r w:rsidR="00E8712E" w:rsidRPr="001C0CEF">
        <w:rPr>
          <w:i/>
          <w:iCs/>
          <w:lang w:val="pl-PL"/>
        </w:rPr>
        <w:t xml:space="preserve">sposób sektor muzyczny </w:t>
      </w:r>
      <w:r w:rsidR="0094513B">
        <w:rPr>
          <w:i/>
          <w:iCs/>
          <w:lang w:val="pl-PL"/>
        </w:rPr>
        <w:t>–</w:t>
      </w:r>
      <w:r w:rsidR="00E8712E" w:rsidRPr="001C0CEF">
        <w:rPr>
          <w:i/>
          <w:iCs/>
          <w:lang w:val="pl-PL"/>
        </w:rPr>
        <w:t xml:space="preserve"> ekosystem dużych i małych firm podejmujących różnorodne działania </w:t>
      </w:r>
      <w:r w:rsidR="0094513B">
        <w:rPr>
          <w:i/>
          <w:iCs/>
          <w:lang w:val="pl-PL"/>
        </w:rPr>
        <w:t>–</w:t>
      </w:r>
      <w:r w:rsidR="00E8712E" w:rsidRPr="001C0CEF">
        <w:rPr>
          <w:i/>
          <w:iCs/>
          <w:lang w:val="pl-PL"/>
        </w:rPr>
        <w:t xml:space="preserve"> bezpośrednio </w:t>
      </w:r>
      <w:r w:rsidR="00AA6348" w:rsidRPr="001C0CEF">
        <w:rPr>
          <w:i/>
          <w:iCs/>
          <w:lang w:val="pl-PL"/>
        </w:rPr>
        <w:t xml:space="preserve">wnosi ogromny wkład </w:t>
      </w:r>
      <w:r w:rsidR="00E8712E" w:rsidRPr="001C0CEF">
        <w:rPr>
          <w:i/>
          <w:iCs/>
          <w:lang w:val="pl-PL"/>
        </w:rPr>
        <w:t>w gospodarkę europejską, porównywaln</w:t>
      </w:r>
      <w:r w:rsidR="00AA6348" w:rsidRPr="001C0CEF">
        <w:rPr>
          <w:i/>
          <w:iCs/>
          <w:lang w:val="pl-PL"/>
        </w:rPr>
        <w:t>y</w:t>
      </w:r>
      <w:r w:rsidR="00E8712E" w:rsidRPr="001C0CEF">
        <w:rPr>
          <w:i/>
          <w:iCs/>
          <w:lang w:val="pl-PL"/>
        </w:rPr>
        <w:t xml:space="preserve"> z </w:t>
      </w:r>
      <w:r w:rsidR="00AA6348" w:rsidRPr="001C0CEF">
        <w:rPr>
          <w:i/>
          <w:iCs/>
          <w:lang w:val="pl-PL"/>
        </w:rPr>
        <w:t>PKB</w:t>
      </w:r>
      <w:r w:rsidR="00E8712E" w:rsidRPr="001C0CEF">
        <w:rPr>
          <w:i/>
          <w:iCs/>
          <w:lang w:val="pl-PL"/>
        </w:rPr>
        <w:t xml:space="preserve"> </w:t>
      </w:r>
      <w:r w:rsidR="00AA6348" w:rsidRPr="001C0CEF">
        <w:rPr>
          <w:i/>
          <w:iCs/>
          <w:lang w:val="pl-PL"/>
        </w:rPr>
        <w:t>niektórych państw</w:t>
      </w:r>
      <w:r w:rsidR="00E8712E" w:rsidRPr="001C0CEF">
        <w:rPr>
          <w:i/>
          <w:iCs/>
          <w:lang w:val="pl-PL"/>
        </w:rPr>
        <w:t xml:space="preserve"> członkowskich.</w:t>
      </w:r>
    </w:p>
    <w:p w14:paraId="1AFD7B12" w14:textId="5EE442DF" w:rsidR="001C0CEF" w:rsidRPr="001C0CEF" w:rsidRDefault="00AA6348" w:rsidP="001C0CEF">
      <w:pPr>
        <w:jc w:val="both"/>
        <w:rPr>
          <w:i/>
          <w:iCs/>
          <w:lang w:val="pl-PL"/>
        </w:rPr>
      </w:pPr>
      <w:r w:rsidRPr="001C0CEF">
        <w:rPr>
          <w:i/>
          <w:iCs/>
          <w:lang w:val="pl-PL"/>
        </w:rPr>
        <w:t xml:space="preserve">Wpływ ekonomiczny sektora muzycznego sięga jednak znacznie dalej niż jego bezpośrednia działalność. Transakcje, jakich </w:t>
      </w:r>
      <w:r w:rsidR="00D948E9" w:rsidRPr="001C0CEF">
        <w:rPr>
          <w:i/>
          <w:iCs/>
          <w:lang w:val="pl-PL"/>
        </w:rPr>
        <w:t>dokonuje z firmami w całej Europie wspierają długi paneuropejski łańcuch wartości. Te</w:t>
      </w:r>
      <w:r w:rsidR="002B25FE" w:rsidRPr="001C0CEF">
        <w:rPr>
          <w:i/>
          <w:iCs/>
          <w:lang w:val="pl-PL"/>
        </w:rPr>
        <w:t>n</w:t>
      </w:r>
      <w:r w:rsidR="00D948E9" w:rsidRPr="001C0CEF">
        <w:rPr>
          <w:i/>
          <w:iCs/>
          <w:lang w:val="pl-PL"/>
        </w:rPr>
        <w:t xml:space="preserve"> efekt mnożnikowy dociera do każdego obszaru europejskiej gospodarki, przyczyniając się do dalszego wzrostu zatrudnienia, wpływów z podatków i PKB na całym kontynencie.</w:t>
      </w:r>
    </w:p>
    <w:p w14:paraId="14D2D9B6" w14:textId="0462A73D" w:rsidR="00EB46CD" w:rsidRPr="001C0CEF" w:rsidRDefault="002B25FE" w:rsidP="001C0CEF">
      <w:pPr>
        <w:jc w:val="both"/>
        <w:rPr>
          <w:rFonts w:cs="Arial"/>
          <w:lang w:val="pl-PL"/>
        </w:rPr>
      </w:pPr>
      <w:r w:rsidRPr="00D6656C">
        <w:rPr>
          <w:rFonts w:cstheme="minorHAnsi"/>
          <w:lang w:val="pl-PL"/>
        </w:rPr>
        <w:t>Raport</w:t>
      </w:r>
      <w:r w:rsidRPr="00D6656C">
        <w:rPr>
          <w:rFonts w:cstheme="minorHAnsi"/>
          <w:i/>
          <w:iCs/>
          <w:lang w:val="pl-PL"/>
        </w:rPr>
        <w:t xml:space="preserve"> </w:t>
      </w:r>
      <w:r w:rsidR="001C0CEF">
        <w:rPr>
          <w:rFonts w:cstheme="minorHAnsi"/>
          <w:lang w:val="pl-PL"/>
        </w:rPr>
        <w:t>„</w:t>
      </w:r>
      <w:r w:rsidRPr="00D6656C">
        <w:rPr>
          <w:rFonts w:cstheme="minorHAnsi"/>
          <w:lang w:val="pl-PL"/>
        </w:rPr>
        <w:t xml:space="preserve">Znaczenie ekonomiczne branży muzycznej w Europie” analizuje także wpływ tego sektora na zatrudnienie, wskazując </w:t>
      </w:r>
      <w:r w:rsidR="00D6656C">
        <w:rPr>
          <w:rFonts w:cstheme="minorHAnsi"/>
          <w:lang w:val="pl-PL"/>
        </w:rPr>
        <w:t xml:space="preserve">na powiązane z nim </w:t>
      </w:r>
      <w:r w:rsidR="00D6656C" w:rsidRPr="00D6656C">
        <w:rPr>
          <w:rFonts w:cstheme="minorHAnsi"/>
          <w:lang w:val="pl-PL"/>
        </w:rPr>
        <w:t xml:space="preserve">dwa miliony </w:t>
      </w:r>
      <w:r w:rsidR="00D6656C">
        <w:rPr>
          <w:rFonts w:cstheme="minorHAnsi"/>
          <w:lang w:val="pl-PL"/>
        </w:rPr>
        <w:t>miejsc pracy w UE 28, co oznacza, że 1 na 119 osób jest w nim zatrudniona.</w:t>
      </w:r>
    </w:p>
    <w:p w14:paraId="77F6D14A" w14:textId="57B68974" w:rsidR="00EB46CD" w:rsidRPr="00EB7345" w:rsidRDefault="00D6656C" w:rsidP="001C0CEF">
      <w:pPr>
        <w:jc w:val="both"/>
        <w:rPr>
          <w:rFonts w:cs="Arial"/>
          <w:lang w:val="pl-PL"/>
        </w:rPr>
      </w:pPr>
      <w:r w:rsidRPr="00D6656C">
        <w:rPr>
          <w:rFonts w:cs="Arial"/>
          <w:lang w:val="pl-PL"/>
        </w:rPr>
        <w:t>W raporcie podkreśla się także znaczenie eksportu europejskiej muzyki (</w:t>
      </w:r>
      <w:r>
        <w:rPr>
          <w:rFonts w:cs="Arial"/>
          <w:lang w:val="pl-PL"/>
        </w:rPr>
        <w:t xml:space="preserve">włączając </w:t>
      </w:r>
      <w:r w:rsidRPr="00D6656C">
        <w:rPr>
          <w:rFonts w:cs="Arial"/>
          <w:lang w:val="pl-PL"/>
        </w:rPr>
        <w:t>eksport z Wielkiej Brytanii)</w:t>
      </w:r>
      <w:r>
        <w:rPr>
          <w:rFonts w:cs="Arial"/>
          <w:lang w:val="pl-PL"/>
        </w:rPr>
        <w:t>, który</w:t>
      </w:r>
      <w:r w:rsidRPr="00D6656C">
        <w:rPr>
          <w:rFonts w:cs="Arial"/>
          <w:lang w:val="pl-PL"/>
        </w:rPr>
        <w:t xml:space="preserve"> </w:t>
      </w:r>
      <w:r w:rsidR="00EB7345">
        <w:rPr>
          <w:rFonts w:cs="Arial"/>
          <w:lang w:val="pl-PL"/>
        </w:rPr>
        <w:t xml:space="preserve">osiągnął wartość </w:t>
      </w:r>
      <w:r w:rsidRPr="00D6656C">
        <w:rPr>
          <w:rFonts w:cs="Arial"/>
          <w:lang w:val="pl-PL"/>
        </w:rPr>
        <w:t>9,7 mld euro</w:t>
      </w:r>
      <w:r>
        <w:rPr>
          <w:rFonts w:cs="Arial"/>
          <w:lang w:val="pl-PL"/>
        </w:rPr>
        <w:t xml:space="preserve"> – niemal połowa tej kwoty (4,7 mld euro) to przychód </w:t>
      </w:r>
      <w:r w:rsidR="00EB7345">
        <w:rPr>
          <w:rFonts w:cs="Arial"/>
          <w:lang w:val="pl-PL"/>
        </w:rPr>
        <w:t>wygenerowany</w:t>
      </w:r>
      <w:r>
        <w:rPr>
          <w:rFonts w:cs="Arial"/>
          <w:lang w:val="pl-PL"/>
        </w:rPr>
        <w:t xml:space="preserve"> przez wytwórnie płytowe, </w:t>
      </w:r>
      <w:r w:rsidR="00EB7345">
        <w:rPr>
          <w:rFonts w:cs="Arial"/>
          <w:lang w:val="pl-PL"/>
        </w:rPr>
        <w:t>wydawców muzycznych i serwisy oferujące muzykę w streamingu.</w:t>
      </w:r>
    </w:p>
    <w:p w14:paraId="64DAE0C2" w14:textId="39D043E3" w:rsidR="00EB46CD" w:rsidRPr="00FB7C22" w:rsidRDefault="00EB7345" w:rsidP="001C0CEF">
      <w:pPr>
        <w:jc w:val="both"/>
        <w:rPr>
          <w:rFonts w:cs="Arial"/>
          <w:lang w:val="pl-PL"/>
        </w:rPr>
      </w:pPr>
      <w:r w:rsidRPr="00EB7345">
        <w:rPr>
          <w:rFonts w:cs="Arial"/>
          <w:lang w:val="pl-PL"/>
        </w:rPr>
        <w:t xml:space="preserve">Sektor muzyczny odegrał także istotną rolę w generowaniu przychodów z podatków, odpowiadając </w:t>
      </w:r>
      <w:r>
        <w:rPr>
          <w:rFonts w:cs="Arial"/>
          <w:lang w:val="pl-PL"/>
        </w:rPr>
        <w:t>w 2018 roku za wpływy podatkowe w UE 28 w wys. 31 mld euro, co stanowi 19,4% całego budżetu UE w tym roku.</w:t>
      </w:r>
      <w:bookmarkEnd w:id="0"/>
    </w:p>
    <w:p w14:paraId="1DF0DEEC" w14:textId="45000690" w:rsidR="00EB46CD" w:rsidRDefault="00EB7345" w:rsidP="001C0CEF">
      <w:pPr>
        <w:jc w:val="both"/>
        <w:rPr>
          <w:lang w:val="pl-PL"/>
        </w:rPr>
      </w:pPr>
      <w:r w:rsidRPr="001C0CEF">
        <w:rPr>
          <w:lang w:val="pl-PL"/>
        </w:rPr>
        <w:t>Na potrzeby niniejszego opracowania „sektor muzyczny” definiuje się jako obejmujący następujące podmioty i segmenty, zgodnie z metodologią zawartą w WIPO Guide: wytwórnie fonograficzne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wydawcy muzyki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studia nagrań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autorzy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</w:t>
      </w:r>
      <w:r w:rsidR="00C240A5" w:rsidRPr="001C0CEF">
        <w:rPr>
          <w:lang w:val="pl-PL"/>
        </w:rPr>
        <w:t xml:space="preserve">artyści </w:t>
      </w:r>
      <w:r w:rsidRPr="001C0CEF">
        <w:rPr>
          <w:lang w:val="pl-PL"/>
        </w:rPr>
        <w:t>wykonawcy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</w:t>
      </w:r>
      <w:r w:rsidR="00C240A5" w:rsidRPr="001C0CEF">
        <w:rPr>
          <w:lang w:val="pl-PL"/>
        </w:rPr>
        <w:t>management artystyczny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organizacje zbiorowego zarządzania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radio muzyczne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telewizja muzyczna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cyfrowe </w:t>
      </w:r>
      <w:r w:rsidR="00C240A5" w:rsidRPr="001C0CEF">
        <w:rPr>
          <w:lang w:val="pl-PL"/>
        </w:rPr>
        <w:t xml:space="preserve">serwisy </w:t>
      </w:r>
      <w:r w:rsidRPr="001C0CEF">
        <w:rPr>
          <w:lang w:val="pl-PL"/>
        </w:rPr>
        <w:t>muzyczne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</w:t>
      </w:r>
      <w:r w:rsidR="00C240A5" w:rsidRPr="001C0CEF">
        <w:rPr>
          <w:lang w:val="pl-PL"/>
        </w:rPr>
        <w:t xml:space="preserve">tradycyjna </w:t>
      </w:r>
      <w:r w:rsidRPr="001C0CEF">
        <w:rPr>
          <w:lang w:val="pl-PL"/>
        </w:rPr>
        <w:t>sprzedaż detaliczna muzyki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</w:t>
      </w:r>
      <w:r w:rsidR="00C240A5" w:rsidRPr="001C0CEF">
        <w:rPr>
          <w:lang w:val="pl-PL"/>
        </w:rPr>
        <w:t>p</w:t>
      </w:r>
      <w:r w:rsidRPr="001C0CEF">
        <w:rPr>
          <w:lang w:val="pl-PL"/>
        </w:rPr>
        <w:t>rodukcja wydarzeń muzycznych na żywo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sale koncertowe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</w:t>
      </w:r>
      <w:r w:rsidR="00C240A5" w:rsidRPr="001C0CEF">
        <w:rPr>
          <w:lang w:val="pl-PL"/>
        </w:rPr>
        <w:t>organizacja tras koncertowych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</w:t>
      </w:r>
      <w:r w:rsidR="00C240A5" w:rsidRPr="001C0CEF">
        <w:rPr>
          <w:lang w:val="pl-PL"/>
        </w:rPr>
        <w:t>p</w:t>
      </w:r>
      <w:r w:rsidRPr="001C0CEF">
        <w:rPr>
          <w:lang w:val="pl-PL"/>
        </w:rPr>
        <w:t>rodukcja i sprzedaż detaliczna instrumentów muzycznych i sprzętu muzycznego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</w:t>
      </w:r>
      <w:proofErr w:type="spellStart"/>
      <w:r w:rsidRPr="001C0CEF">
        <w:rPr>
          <w:lang w:val="pl-PL"/>
        </w:rPr>
        <w:t>merchandising</w:t>
      </w:r>
      <w:proofErr w:type="spellEnd"/>
      <w:r w:rsidRPr="001C0CEF">
        <w:rPr>
          <w:lang w:val="pl-PL"/>
        </w:rPr>
        <w:t xml:space="preserve"> muzyczny</w:t>
      </w:r>
      <w:r w:rsidR="00E831D6">
        <w:rPr>
          <w:lang w:val="pl-PL"/>
        </w:rPr>
        <w:t>,</w:t>
      </w:r>
      <w:r w:rsidRPr="001C0CEF">
        <w:rPr>
          <w:lang w:val="pl-PL"/>
        </w:rPr>
        <w:t xml:space="preserve"> nauczyciele muzyki.</w:t>
      </w:r>
    </w:p>
    <w:p w14:paraId="584859C6" w14:textId="77777777" w:rsidR="001C0CEF" w:rsidRDefault="001C0CEF" w:rsidP="001C0CEF">
      <w:pPr>
        <w:jc w:val="both"/>
        <w:rPr>
          <w:lang w:val="pl-PL"/>
        </w:rPr>
      </w:pPr>
    </w:p>
    <w:p w14:paraId="00FE5DEB" w14:textId="75E6479D" w:rsidR="001C0CEF" w:rsidRPr="001C0CEF" w:rsidRDefault="001C0CEF" w:rsidP="001C0CEF">
      <w:pPr>
        <w:jc w:val="center"/>
        <w:rPr>
          <w:rFonts w:cstheme="minorHAnsi"/>
          <w:b/>
          <w:bCs/>
          <w:lang w:val="pl-PL"/>
        </w:rPr>
      </w:pPr>
      <w:r>
        <w:rPr>
          <w:lang w:val="pl-PL"/>
        </w:rPr>
        <w:t>***</w:t>
      </w:r>
    </w:p>
    <w:p w14:paraId="3CA4C30D" w14:textId="29F5FEB1" w:rsidR="00EB46CD" w:rsidRPr="005473FA" w:rsidRDefault="00C240A5" w:rsidP="001C0CEF">
      <w:pPr>
        <w:pStyle w:val="NormalnyWeb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473FA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O </w:t>
      </w:r>
      <w:r w:rsidR="00EB46CD" w:rsidRPr="005473FA">
        <w:rPr>
          <w:rFonts w:asciiTheme="minorHAnsi" w:hAnsiTheme="minorHAnsi" w:cstheme="minorHAnsi"/>
          <w:b/>
          <w:bCs/>
          <w:sz w:val="18"/>
          <w:szCs w:val="18"/>
          <w:lang w:val="pl-PL"/>
        </w:rPr>
        <w:t>IFPI</w:t>
      </w:r>
    </w:p>
    <w:p w14:paraId="17DB8FDC" w14:textId="55038E6E" w:rsidR="00EB46CD" w:rsidRPr="005473FA" w:rsidRDefault="00C240A5" w:rsidP="001C0CEF">
      <w:pPr>
        <w:pStyle w:val="NormalnyWeb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473FA">
        <w:rPr>
          <w:rFonts w:asciiTheme="minorHAnsi" w:hAnsiTheme="minorHAnsi" w:cstheme="minorHAnsi"/>
          <w:sz w:val="18"/>
          <w:szCs w:val="18"/>
          <w:lang w:val="pl-PL"/>
        </w:rPr>
        <w:t>IFPI jest organizacją promującą interesy przemysłu fonograficznego na całym świecie. IFPI wraz z siecią swoich Grup Krajowych posiada ponad 8 </w:t>
      </w:r>
      <w:r w:rsidR="0094513B" w:rsidRPr="005473FA">
        <w:rPr>
          <w:rFonts w:asciiTheme="minorHAnsi" w:hAnsiTheme="minorHAnsi" w:cstheme="minorHAnsi"/>
          <w:sz w:val="18"/>
          <w:szCs w:val="18"/>
          <w:lang w:val="pl-PL"/>
        </w:rPr>
        <w:t>tys.</w:t>
      </w:r>
      <w:r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 członków w ponad 70 krajach świata. IFPI operuje poprzez 70 biur regionalnych, Grup Krajowych i stowarzyszonych organizacji zbiorowego zarządzania. Misją IFPI jest promowanie wartości nagrań muzycznych, występowanie w interesie praw producentów fonograficznych i rozszerzanie komercyjnego wykorzystania muzyki na wszystkich rynkach, na których operują członkowie organizacji.</w:t>
      </w:r>
    </w:p>
    <w:p w14:paraId="5D2A9EFF" w14:textId="68FEDFD5" w:rsidR="00EB46CD" w:rsidRPr="005473FA" w:rsidRDefault="00C240A5" w:rsidP="001C0CEF">
      <w:pPr>
        <w:pStyle w:val="NormalnyWeb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5473FA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O </w:t>
      </w:r>
      <w:r w:rsidR="00EB46CD" w:rsidRPr="005473FA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Oxford </w:t>
      </w:r>
      <w:proofErr w:type="spellStart"/>
      <w:r w:rsidR="00EB46CD" w:rsidRPr="005473FA">
        <w:rPr>
          <w:rFonts w:asciiTheme="minorHAnsi" w:hAnsiTheme="minorHAnsi" w:cstheme="minorHAnsi"/>
          <w:b/>
          <w:bCs/>
          <w:sz w:val="18"/>
          <w:szCs w:val="18"/>
          <w:lang w:val="pl-PL"/>
        </w:rPr>
        <w:t>Economics</w:t>
      </w:r>
      <w:proofErr w:type="spellEnd"/>
      <w:r w:rsidR="00EB46CD" w:rsidRPr="005473FA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</w:p>
    <w:p w14:paraId="2C7A7764" w14:textId="047BE5CF" w:rsidR="001C0CEF" w:rsidRPr="001C0CEF" w:rsidRDefault="00C240A5" w:rsidP="001C0CEF">
      <w:pPr>
        <w:pStyle w:val="NormalnyWeb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Firma Oxford </w:t>
      </w:r>
      <w:proofErr w:type="spellStart"/>
      <w:r w:rsidRPr="005473FA">
        <w:rPr>
          <w:rFonts w:asciiTheme="minorHAnsi" w:hAnsiTheme="minorHAnsi" w:cstheme="minorHAnsi"/>
          <w:sz w:val="18"/>
          <w:szCs w:val="18"/>
          <w:lang w:val="pl-PL"/>
        </w:rPr>
        <w:t>Economics</w:t>
      </w:r>
      <w:proofErr w:type="spellEnd"/>
      <w:r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 została założona w 1981 r. jako </w:t>
      </w:r>
      <w:r w:rsidR="00496D69"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wspólne </w:t>
      </w:r>
      <w:r w:rsidRPr="005473FA">
        <w:rPr>
          <w:rFonts w:asciiTheme="minorHAnsi" w:hAnsiTheme="minorHAnsi" w:cstheme="minorHAnsi"/>
          <w:sz w:val="18"/>
          <w:szCs w:val="18"/>
          <w:lang w:val="pl-PL"/>
        </w:rPr>
        <w:t>przedsięwzięcie komercyjne z wydziałem biznes</w:t>
      </w:r>
      <w:r w:rsidR="00496D69" w:rsidRPr="005473FA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 Uniwersytetu Oksfordzkiego w celu zapewnienia prognozowania gospodarczego i modelowania </w:t>
      </w:r>
      <w:r w:rsidR="00496D69"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brytyjskim </w:t>
      </w:r>
      <w:r w:rsidRPr="005473FA">
        <w:rPr>
          <w:rFonts w:asciiTheme="minorHAnsi" w:hAnsiTheme="minorHAnsi" w:cstheme="minorHAnsi"/>
          <w:sz w:val="18"/>
          <w:szCs w:val="18"/>
          <w:lang w:val="pl-PL"/>
        </w:rPr>
        <w:t>firmom i instytucjom finansowym, rozwijają</w:t>
      </w:r>
      <w:r w:rsidR="00496D69" w:rsidRPr="005473FA">
        <w:rPr>
          <w:rFonts w:asciiTheme="minorHAnsi" w:hAnsiTheme="minorHAnsi" w:cstheme="minorHAnsi"/>
          <w:sz w:val="18"/>
          <w:szCs w:val="18"/>
          <w:lang w:val="pl-PL"/>
        </w:rPr>
        <w:t>cym swoją działalność</w:t>
      </w:r>
      <w:r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 za granicą. Od tego czasu stała się jedną z czołowych niezależnych globalnych firm doradczych na świecie, dostarczając raporty, prognozy i narzędzia analityczne dotyczące ponad 200 krajów, 250 sektorów przemysłu oraz 7 </w:t>
      </w:r>
      <w:r w:rsidR="00BE776C" w:rsidRPr="005473FA">
        <w:rPr>
          <w:rFonts w:asciiTheme="minorHAnsi" w:hAnsiTheme="minorHAnsi" w:cstheme="minorHAnsi"/>
          <w:sz w:val="18"/>
          <w:szCs w:val="18"/>
          <w:lang w:val="pl-PL"/>
        </w:rPr>
        <w:t>tys.</w:t>
      </w:r>
      <w:r w:rsidRPr="005473FA">
        <w:rPr>
          <w:rFonts w:asciiTheme="minorHAnsi" w:hAnsiTheme="minorHAnsi" w:cstheme="minorHAnsi"/>
          <w:sz w:val="18"/>
          <w:szCs w:val="18"/>
          <w:lang w:val="pl-PL"/>
        </w:rPr>
        <w:t xml:space="preserve"> miast i regionów</w:t>
      </w:r>
      <w:r w:rsidRPr="001C0CE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B9D3970" w14:textId="77777777" w:rsidR="001C0CEF" w:rsidRPr="00233C9B" w:rsidRDefault="001C0CEF" w:rsidP="001C0CEF">
      <w:pPr>
        <w:jc w:val="both"/>
        <w:rPr>
          <w:rFonts w:cstheme="minorHAnsi"/>
          <w:b/>
          <w:bCs/>
          <w:u w:val="single"/>
          <w:lang w:val="pl-PL"/>
        </w:rPr>
      </w:pPr>
      <w:r>
        <w:rPr>
          <w:rFonts w:cstheme="minorHAnsi"/>
          <w:b/>
          <w:bCs/>
          <w:u w:val="single"/>
          <w:lang w:val="pl-PL"/>
        </w:rPr>
        <w:t>Informacje dodatkowe</w:t>
      </w:r>
      <w:r w:rsidRPr="00233C9B">
        <w:rPr>
          <w:rFonts w:cstheme="minorHAnsi"/>
          <w:b/>
          <w:bCs/>
          <w:u w:val="single"/>
          <w:lang w:val="pl-PL"/>
        </w:rPr>
        <w:t>:</w:t>
      </w:r>
    </w:p>
    <w:p w14:paraId="09B16132" w14:textId="77777777" w:rsidR="001C0CEF" w:rsidRPr="00233C9B" w:rsidRDefault="001C0CEF" w:rsidP="001C0CEF">
      <w:pPr>
        <w:jc w:val="both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>W celu uzyskania szczegółowych informacji prosimy o kontakt</w:t>
      </w:r>
      <w:r w:rsidRPr="00233C9B">
        <w:rPr>
          <w:rFonts w:cstheme="minorHAnsi"/>
          <w:b/>
          <w:lang w:val="pl-PL"/>
        </w:rPr>
        <w:t>:</w:t>
      </w:r>
    </w:p>
    <w:p w14:paraId="245774A2" w14:textId="3552C0A4" w:rsidR="007F5EF3" w:rsidRPr="005473FA" w:rsidRDefault="0052069A" w:rsidP="001C0CEF">
      <w:pPr>
        <w:jc w:val="both"/>
        <w:rPr>
          <w:rFonts w:cstheme="minorHAnsi"/>
          <w:lang w:val="en-US"/>
        </w:rPr>
      </w:pPr>
      <w:hyperlink r:id="rId12" w:history="1">
        <w:r w:rsidR="001C0CEF" w:rsidRPr="00C24857">
          <w:rPr>
            <w:rStyle w:val="Hipercze"/>
            <w:rFonts w:cstheme="minorHAnsi"/>
            <w:lang w:val="en-US"/>
          </w:rPr>
          <w:t>press@ifpi.org</w:t>
        </w:r>
      </w:hyperlink>
      <w:r w:rsidR="001C0CEF" w:rsidRPr="00C24857">
        <w:rPr>
          <w:rStyle w:val="Hipercze"/>
          <w:rFonts w:cstheme="minorHAnsi"/>
          <w:lang w:val="en-US"/>
        </w:rPr>
        <w:t xml:space="preserve"> |</w:t>
      </w:r>
      <w:r w:rsidR="001C0CEF" w:rsidRPr="00C24857">
        <w:rPr>
          <w:rFonts w:cstheme="minorHAnsi"/>
          <w:lang w:val="en-US"/>
        </w:rPr>
        <w:t>+44 (0)20 7878 7979</w:t>
      </w:r>
    </w:p>
    <w:sectPr w:rsidR="007F5EF3" w:rsidRPr="005473F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F95D" w14:textId="77777777" w:rsidR="0052069A" w:rsidRDefault="0052069A" w:rsidP="00EB46CD">
      <w:pPr>
        <w:spacing w:after="0" w:line="240" w:lineRule="auto"/>
      </w:pPr>
      <w:r>
        <w:separator/>
      </w:r>
    </w:p>
  </w:endnote>
  <w:endnote w:type="continuationSeparator" w:id="0">
    <w:p w14:paraId="0C50BA69" w14:textId="77777777" w:rsidR="0052069A" w:rsidRDefault="0052069A" w:rsidP="00EB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A1E94" w14:textId="77777777" w:rsidR="0052069A" w:rsidRDefault="0052069A" w:rsidP="00EB46CD">
      <w:pPr>
        <w:spacing w:after="0" w:line="240" w:lineRule="auto"/>
      </w:pPr>
      <w:r>
        <w:separator/>
      </w:r>
    </w:p>
  </w:footnote>
  <w:footnote w:type="continuationSeparator" w:id="0">
    <w:p w14:paraId="6218A6A5" w14:textId="77777777" w:rsidR="0052069A" w:rsidRDefault="0052069A" w:rsidP="00EB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6915" w14:textId="0B353665" w:rsidR="00EB46CD" w:rsidRDefault="00725AD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467F5" wp14:editId="4D618FFA">
          <wp:simplePos x="0" y="0"/>
          <wp:positionH relativeFrom="column">
            <wp:posOffset>5476875</wp:posOffset>
          </wp:positionH>
          <wp:positionV relativeFrom="paragraph">
            <wp:posOffset>123190</wp:posOffset>
          </wp:positionV>
          <wp:extent cx="646430" cy="686435"/>
          <wp:effectExtent l="0" t="0" r="1270" b="0"/>
          <wp:wrapThrough wrapText="bothSides">
            <wp:wrapPolygon edited="0">
              <wp:start x="7639" y="0"/>
              <wp:lineTo x="0" y="5994"/>
              <wp:lineTo x="0" y="20981"/>
              <wp:lineTo x="14004" y="20981"/>
              <wp:lineTo x="21006" y="19182"/>
              <wp:lineTo x="21006" y="0"/>
              <wp:lineTo x="10185" y="0"/>
              <wp:lineTo x="763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57E99"/>
    <w:multiLevelType w:val="hybridMultilevel"/>
    <w:tmpl w:val="3536A7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DYzMzEwMTU0NDFW0lEKTi0uzszPAykwrAUAMbs2RiwAAAA="/>
  </w:docVars>
  <w:rsids>
    <w:rsidRoot w:val="00EB46CD"/>
    <w:rsid w:val="001C0CEF"/>
    <w:rsid w:val="00233C9B"/>
    <w:rsid w:val="002404D8"/>
    <w:rsid w:val="00286DB6"/>
    <w:rsid w:val="002B25FE"/>
    <w:rsid w:val="00304E13"/>
    <w:rsid w:val="004855A5"/>
    <w:rsid w:val="00496D69"/>
    <w:rsid w:val="0052069A"/>
    <w:rsid w:val="005473FA"/>
    <w:rsid w:val="006141DE"/>
    <w:rsid w:val="006F1EF3"/>
    <w:rsid w:val="00725AD5"/>
    <w:rsid w:val="007B4AAB"/>
    <w:rsid w:val="007F5EF3"/>
    <w:rsid w:val="008E1CFA"/>
    <w:rsid w:val="0094513B"/>
    <w:rsid w:val="009B043F"/>
    <w:rsid w:val="00AA6348"/>
    <w:rsid w:val="00B64B2F"/>
    <w:rsid w:val="00BE776C"/>
    <w:rsid w:val="00BF3068"/>
    <w:rsid w:val="00C23D33"/>
    <w:rsid w:val="00C240A5"/>
    <w:rsid w:val="00C24857"/>
    <w:rsid w:val="00C63915"/>
    <w:rsid w:val="00D2147B"/>
    <w:rsid w:val="00D31EF6"/>
    <w:rsid w:val="00D6656C"/>
    <w:rsid w:val="00D948E9"/>
    <w:rsid w:val="00DF6BB6"/>
    <w:rsid w:val="00E6454B"/>
    <w:rsid w:val="00E720FB"/>
    <w:rsid w:val="00E831D6"/>
    <w:rsid w:val="00E8712E"/>
    <w:rsid w:val="00EB46CD"/>
    <w:rsid w:val="00EB7345"/>
    <w:rsid w:val="00F10880"/>
    <w:rsid w:val="00F15380"/>
    <w:rsid w:val="00F22D55"/>
    <w:rsid w:val="00FB6657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1EF9"/>
  <w15:chartTrackingRefBased/>
  <w15:docId w15:val="{9D262130-BC94-4632-9C7E-49B9A6B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46CD"/>
    <w:pPr>
      <w:ind w:left="720"/>
      <w:contextualSpacing/>
    </w:pPr>
  </w:style>
  <w:style w:type="paragraph" w:styleId="NormalnyWeb">
    <w:name w:val="Normal (Web)"/>
    <w:basedOn w:val="Normalny"/>
    <w:uiPriority w:val="99"/>
    <w:rsid w:val="00E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EB46CD"/>
    <w:rPr>
      <w:b/>
      <w:bCs/>
    </w:rPr>
  </w:style>
  <w:style w:type="character" w:styleId="Hipercze">
    <w:name w:val="Hyperlink"/>
    <w:basedOn w:val="Domylnaczcionkaakapitu"/>
    <w:rsid w:val="00EB46CD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6CD"/>
  </w:style>
  <w:style w:type="paragraph" w:styleId="Nagwek">
    <w:name w:val="header"/>
    <w:basedOn w:val="Normalny"/>
    <w:link w:val="NagwekZnak"/>
    <w:uiPriority w:val="99"/>
    <w:unhideWhenUsed/>
    <w:rsid w:val="00EB4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6CD"/>
  </w:style>
  <w:style w:type="paragraph" w:styleId="Stopka">
    <w:name w:val="footer"/>
    <w:basedOn w:val="Normalny"/>
    <w:link w:val="StopkaZnak"/>
    <w:uiPriority w:val="99"/>
    <w:unhideWhenUsed/>
    <w:rsid w:val="00EB4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6CD"/>
  </w:style>
  <w:style w:type="character" w:styleId="Odwoaniedokomentarza">
    <w:name w:val="annotation reference"/>
    <w:basedOn w:val="Domylnaczcionkaakapitu"/>
    <w:uiPriority w:val="99"/>
    <w:semiHidden/>
    <w:unhideWhenUsed/>
    <w:rsid w:val="00945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1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1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s@ifp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pav.pl/pliki/aktualnosci/IFPI_infographic_P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fpi.org/wp-content/uploads/2020/11/IFPI_music_in_Europ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F90B04B7B949BFF239C766453427" ma:contentTypeVersion="12" ma:contentTypeDescription="Create a new document." ma:contentTypeScope="" ma:versionID="4e55a063b0cec35eef614884a321902f">
  <xsd:schema xmlns:xsd="http://www.w3.org/2001/XMLSchema" xmlns:xs="http://www.w3.org/2001/XMLSchema" xmlns:p="http://schemas.microsoft.com/office/2006/metadata/properties" xmlns:ns2="f6bd6c81-1d77-431a-96f6-b584d06c0276" xmlns:ns3="74b0efb2-7030-4e66-92e6-a801e305edca" targetNamespace="http://schemas.microsoft.com/office/2006/metadata/properties" ma:root="true" ma:fieldsID="b526668a41a5989d501948ca44e78a3d" ns2:_="" ns3:_="">
    <xsd:import namespace="f6bd6c81-1d77-431a-96f6-b584d06c0276"/>
    <xsd:import namespace="74b0efb2-7030-4e66-92e6-a801e305e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6c81-1d77-431a-96f6-b584d06c0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efb2-7030-4e66-92e6-a801e305e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9E65C-F41C-4964-BA7E-3AD5C5E85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A1F1D-4FCC-4A83-AA3B-50DE9D83C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ED948-2684-4579-B502-0BE74FED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6c81-1d77-431a-96f6-b584d06c0276"/>
    <ds:schemaRef ds:uri="74b0efb2-7030-4e66-92e6-a801e305e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Goldthorpe</dc:creator>
  <cp:keywords/>
  <dc:description/>
  <cp:lastModifiedBy>Katarzyna Kowalewska</cp:lastModifiedBy>
  <cp:revision>3</cp:revision>
  <dcterms:created xsi:type="dcterms:W3CDTF">2020-11-18T11:59:00Z</dcterms:created>
  <dcterms:modified xsi:type="dcterms:W3CDTF">2020-11-19T15:13:00Z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0x010100535AF90B04B7B949BFF239C766453427</vt:lpwstr>
  </property>
</Properties>
</file>