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69BF" w14:textId="77777777" w:rsidR="00984327" w:rsidRPr="005B5E58" w:rsidRDefault="00984327" w:rsidP="00E61114">
      <w:pPr>
        <w:jc w:val="both"/>
        <w:rPr>
          <w:rStyle w:val="Pogrubienie"/>
          <w:rFonts w:ascii="Calibri Light" w:hAnsi="Calibri Light" w:cs="Calibri Light"/>
          <w:b w:val="0"/>
          <w:bCs w:val="0"/>
          <w:color w:val="000000"/>
          <w:sz w:val="28"/>
          <w:szCs w:val="28"/>
          <w:lang w:val="pl-PL"/>
        </w:rPr>
      </w:pPr>
    </w:p>
    <w:p w14:paraId="6881C024" w14:textId="6D260435" w:rsidR="00E61114" w:rsidRPr="00C61B1F" w:rsidRDefault="00984327" w:rsidP="00984327">
      <w:pPr>
        <w:jc w:val="right"/>
        <w:rPr>
          <w:rStyle w:val="Pogrubienie"/>
          <w:rFonts w:asciiTheme="majorHAnsi" w:hAnsiTheme="majorHAnsi" w:cstheme="majorHAnsi"/>
          <w:b w:val="0"/>
          <w:bCs w:val="0"/>
          <w:color w:val="000000"/>
          <w:sz w:val="20"/>
          <w:szCs w:val="20"/>
          <w:lang w:val="pl-PL"/>
        </w:rPr>
      </w:pPr>
      <w:r w:rsidRPr="00C61B1F">
        <w:rPr>
          <w:rStyle w:val="Pogrubienie"/>
          <w:rFonts w:asciiTheme="majorHAnsi" w:hAnsiTheme="majorHAnsi" w:cstheme="majorHAnsi"/>
          <w:b w:val="0"/>
          <w:bCs w:val="0"/>
          <w:color w:val="000000"/>
          <w:sz w:val="20"/>
          <w:szCs w:val="20"/>
          <w:lang w:val="pl-PL"/>
        </w:rPr>
        <w:t>Londyn, 2</w:t>
      </w:r>
      <w:r w:rsidR="00C61B1F" w:rsidRPr="00C61B1F">
        <w:rPr>
          <w:rStyle w:val="Pogrubienie"/>
          <w:rFonts w:asciiTheme="majorHAnsi" w:hAnsiTheme="majorHAnsi" w:cstheme="majorHAnsi"/>
          <w:b w:val="0"/>
          <w:bCs w:val="0"/>
          <w:color w:val="000000"/>
          <w:sz w:val="20"/>
          <w:szCs w:val="20"/>
          <w:lang w:val="pl-PL"/>
        </w:rPr>
        <w:t>2</w:t>
      </w:r>
      <w:r w:rsidRPr="00C61B1F">
        <w:rPr>
          <w:rStyle w:val="Pogrubienie"/>
          <w:rFonts w:asciiTheme="majorHAnsi" w:hAnsiTheme="majorHAnsi" w:cstheme="majorHAnsi"/>
          <w:b w:val="0"/>
          <w:bCs w:val="0"/>
          <w:color w:val="000000"/>
          <w:sz w:val="20"/>
          <w:szCs w:val="20"/>
          <w:lang w:val="pl-PL"/>
        </w:rPr>
        <w:t xml:space="preserve"> </w:t>
      </w:r>
      <w:r w:rsidR="00C61B1F" w:rsidRPr="00C61B1F">
        <w:rPr>
          <w:rStyle w:val="Pogrubienie"/>
          <w:rFonts w:asciiTheme="majorHAnsi" w:hAnsiTheme="majorHAnsi" w:cstheme="majorHAnsi"/>
          <w:b w:val="0"/>
          <w:bCs w:val="0"/>
          <w:color w:val="000000"/>
          <w:sz w:val="20"/>
          <w:szCs w:val="20"/>
          <w:lang w:val="pl-PL"/>
        </w:rPr>
        <w:t>marca</w:t>
      </w:r>
      <w:r w:rsidRPr="00C61B1F">
        <w:rPr>
          <w:rStyle w:val="Pogrubienie"/>
          <w:rFonts w:asciiTheme="majorHAnsi" w:hAnsiTheme="majorHAnsi" w:cstheme="majorHAnsi"/>
          <w:b w:val="0"/>
          <w:bCs w:val="0"/>
          <w:color w:val="000000"/>
          <w:sz w:val="20"/>
          <w:szCs w:val="20"/>
          <w:lang w:val="pl-PL"/>
        </w:rPr>
        <w:t xml:space="preserve"> 202</w:t>
      </w:r>
      <w:r w:rsidR="00C61B1F" w:rsidRPr="00C61B1F">
        <w:rPr>
          <w:rStyle w:val="Pogrubienie"/>
          <w:rFonts w:asciiTheme="majorHAnsi" w:hAnsiTheme="majorHAnsi" w:cstheme="majorHAnsi"/>
          <w:b w:val="0"/>
          <w:bCs w:val="0"/>
          <w:color w:val="000000"/>
          <w:sz w:val="20"/>
          <w:szCs w:val="20"/>
          <w:lang w:val="pl-PL"/>
        </w:rPr>
        <w:t>2</w:t>
      </w:r>
      <w:r w:rsidRPr="00C61B1F">
        <w:rPr>
          <w:rStyle w:val="Pogrubienie"/>
          <w:rFonts w:asciiTheme="majorHAnsi" w:hAnsiTheme="majorHAnsi" w:cstheme="majorHAnsi"/>
          <w:b w:val="0"/>
          <w:bCs w:val="0"/>
          <w:color w:val="000000"/>
          <w:sz w:val="20"/>
          <w:szCs w:val="20"/>
          <w:lang w:val="pl-PL"/>
        </w:rPr>
        <w:t xml:space="preserve"> r.</w:t>
      </w:r>
    </w:p>
    <w:p w14:paraId="54B51685" w14:textId="77777777" w:rsidR="00E61114" w:rsidRPr="00C61B1F" w:rsidRDefault="00E61114" w:rsidP="00E61114">
      <w:pPr>
        <w:jc w:val="both"/>
        <w:rPr>
          <w:rStyle w:val="Pogrubienie"/>
          <w:rFonts w:asciiTheme="majorHAnsi" w:hAnsiTheme="majorHAnsi" w:cstheme="majorHAnsi"/>
          <w:b w:val="0"/>
          <w:bCs w:val="0"/>
          <w:color w:val="000000"/>
          <w:sz w:val="36"/>
          <w:szCs w:val="36"/>
          <w:lang w:val="pl-PL"/>
        </w:rPr>
      </w:pPr>
    </w:p>
    <w:p w14:paraId="5D0223DC" w14:textId="77777777" w:rsidR="00B33D4B" w:rsidRPr="00B33D4B" w:rsidRDefault="00C61B1F" w:rsidP="00C61B1F">
      <w:pPr>
        <w:spacing w:line="360" w:lineRule="auto"/>
        <w:rPr>
          <w:rFonts w:asciiTheme="majorHAnsi" w:hAnsiTheme="majorHAnsi" w:cstheme="majorHAnsi"/>
          <w:b/>
          <w:bCs/>
          <w:sz w:val="32"/>
          <w:szCs w:val="32"/>
          <w:lang w:val="pl-PL"/>
        </w:rPr>
      </w:pPr>
      <w:r w:rsidRPr="00B33D4B">
        <w:rPr>
          <w:rFonts w:asciiTheme="majorHAnsi" w:hAnsiTheme="majorHAnsi" w:cstheme="majorHAnsi"/>
          <w:b/>
          <w:bCs/>
          <w:sz w:val="32"/>
          <w:szCs w:val="32"/>
          <w:lang w:val="pl-PL"/>
        </w:rPr>
        <w:t>R</w:t>
      </w:r>
      <w:r w:rsidR="00B33D4B" w:rsidRPr="00B33D4B">
        <w:rPr>
          <w:rFonts w:asciiTheme="majorHAnsi" w:hAnsiTheme="majorHAnsi" w:cstheme="majorHAnsi"/>
          <w:b/>
          <w:bCs/>
          <w:sz w:val="32"/>
          <w:szCs w:val="32"/>
          <w:lang w:val="pl-PL"/>
        </w:rPr>
        <w:t>aport IFPI o światowym rynku muzycznym</w:t>
      </w:r>
      <w:r w:rsidR="008D467A" w:rsidRPr="00B33D4B">
        <w:rPr>
          <w:rFonts w:asciiTheme="majorHAnsi" w:hAnsiTheme="majorHAnsi" w:cstheme="majorHAnsi"/>
          <w:b/>
          <w:bCs/>
          <w:sz w:val="32"/>
          <w:szCs w:val="32"/>
          <w:lang w:val="pl-PL"/>
        </w:rPr>
        <w:t>.</w:t>
      </w:r>
      <w:r w:rsidRPr="00B33D4B">
        <w:rPr>
          <w:rFonts w:asciiTheme="majorHAnsi" w:hAnsiTheme="majorHAnsi" w:cstheme="majorHAnsi"/>
          <w:b/>
          <w:bCs/>
          <w:sz w:val="32"/>
          <w:szCs w:val="32"/>
          <w:lang w:val="pl-PL"/>
        </w:rPr>
        <w:t xml:space="preserve"> S</w:t>
      </w:r>
      <w:r w:rsidR="00B33D4B" w:rsidRPr="00B33D4B">
        <w:rPr>
          <w:rFonts w:asciiTheme="majorHAnsi" w:hAnsiTheme="majorHAnsi" w:cstheme="majorHAnsi"/>
          <w:b/>
          <w:bCs/>
          <w:sz w:val="32"/>
          <w:szCs w:val="32"/>
          <w:lang w:val="pl-PL"/>
        </w:rPr>
        <w:t>przedaż nagrań muzycznych na świecie wzrosła o 18,5% w 2021 roku.</w:t>
      </w:r>
    </w:p>
    <w:p w14:paraId="554F52F9" w14:textId="2EC3F667" w:rsidR="00C61B1F" w:rsidRPr="00C61B1F" w:rsidRDefault="00C61B1F" w:rsidP="00C61B1F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2ED08863" w14:textId="77777777" w:rsidR="00C61B1F" w:rsidRPr="00C61B1F" w:rsidRDefault="00C61B1F" w:rsidP="00C61B1F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5F2F0048" w14:textId="5D436400" w:rsidR="00C61B1F" w:rsidRPr="00E82F69" w:rsidRDefault="00C61B1F" w:rsidP="00C61B1F">
      <w:pPr>
        <w:jc w:val="center"/>
        <w:rPr>
          <w:rFonts w:asciiTheme="majorHAnsi" w:hAnsiTheme="majorHAnsi" w:cstheme="majorHAnsi"/>
          <w:sz w:val="20"/>
          <w:szCs w:val="20"/>
        </w:rPr>
      </w:pPr>
      <w:proofErr w:type="spellStart"/>
      <w:r w:rsidRPr="00C61B1F">
        <w:rPr>
          <w:rFonts w:asciiTheme="majorHAnsi" w:hAnsiTheme="majorHAnsi" w:cstheme="majorHAnsi"/>
          <w:i/>
          <w:iCs/>
          <w:sz w:val="20"/>
          <w:szCs w:val="20"/>
        </w:rPr>
        <w:t>Publikacja</w:t>
      </w:r>
      <w:proofErr w:type="spellEnd"/>
      <w:r w:rsidRPr="00C61B1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C61B1F">
        <w:rPr>
          <w:rFonts w:asciiTheme="majorHAnsi" w:hAnsiTheme="majorHAnsi" w:cstheme="majorHAnsi"/>
          <w:b/>
          <w:bCs/>
          <w:i/>
          <w:iCs/>
          <w:sz w:val="20"/>
          <w:szCs w:val="20"/>
        </w:rPr>
        <w:t>„Global Music Report – State of The Industry”</w:t>
      </w:r>
      <w:r w:rsidRPr="00C61B1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spellStart"/>
      <w:r w:rsidRPr="00C61B1F">
        <w:rPr>
          <w:rFonts w:asciiTheme="majorHAnsi" w:hAnsiTheme="majorHAnsi" w:cstheme="majorHAnsi"/>
          <w:i/>
          <w:iCs/>
          <w:sz w:val="20"/>
          <w:szCs w:val="20"/>
        </w:rPr>
        <w:t>dostępna</w:t>
      </w:r>
      <w:proofErr w:type="spellEnd"/>
      <w:r w:rsidRPr="00C61B1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hyperlink r:id="rId10" w:history="1">
        <w:proofErr w:type="spellStart"/>
        <w:r w:rsidRPr="00B33D4B">
          <w:rPr>
            <w:rStyle w:val="Hipercze"/>
            <w:rFonts w:asciiTheme="majorHAnsi" w:hAnsiTheme="majorHAnsi" w:cstheme="majorHAnsi"/>
            <w:i/>
            <w:iCs/>
            <w:sz w:val="20"/>
            <w:szCs w:val="20"/>
          </w:rPr>
          <w:t>tutaj</w:t>
        </w:r>
        <w:proofErr w:type="spellEnd"/>
        <w:r w:rsidR="008D467A" w:rsidRPr="00B33D4B">
          <w:rPr>
            <w:rStyle w:val="Hipercze"/>
            <w:rFonts w:asciiTheme="majorHAnsi" w:hAnsiTheme="majorHAnsi" w:cstheme="majorHAnsi"/>
            <w:sz w:val="20"/>
            <w:szCs w:val="20"/>
          </w:rPr>
          <w:t>.</w:t>
        </w:r>
      </w:hyperlink>
    </w:p>
    <w:p w14:paraId="5B498187" w14:textId="19EEDD3B" w:rsidR="00C61B1F" w:rsidRPr="00E82F69" w:rsidRDefault="00C61B1F" w:rsidP="00C61B1F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FAEFC9" w14:textId="1BDD9C63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>Głównym motorem napędowym ponad 18</w:t>
      </w:r>
      <w:r w:rsidR="008D467A">
        <w:rPr>
          <w:rFonts w:asciiTheme="majorHAnsi" w:hAnsiTheme="majorHAnsi" w:cstheme="majorHAnsi"/>
          <w:sz w:val="20"/>
          <w:szCs w:val="20"/>
          <w:lang w:val="pl-PL"/>
        </w:rPr>
        <w:t>-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procentowego wzrostu na światowym rynku fonograficznym jest rosnąca popularność płatnych serwisów </w:t>
      </w:r>
      <w:proofErr w:type="spellStart"/>
      <w:r w:rsidRPr="00C61B1F">
        <w:rPr>
          <w:rFonts w:asciiTheme="majorHAnsi" w:hAnsiTheme="majorHAnsi" w:cstheme="majorHAnsi"/>
          <w:sz w:val="20"/>
          <w:szCs w:val="20"/>
          <w:lang w:val="pl-PL"/>
        </w:rPr>
        <w:t>streamingowych</w:t>
      </w:r>
      <w:proofErr w:type="spellEnd"/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– wynika z raportu „Global Music Report”, opublikowanego dziś przez IFPI, organizację zrzeszającą przemysł muzyczny na świecie. Przychody ze sprzedaży nagrań muzycznych wyniosły w 2021 roku 25,9 miliard</w:t>
      </w:r>
      <w:r w:rsidR="008D467A">
        <w:rPr>
          <w:rFonts w:asciiTheme="majorHAnsi" w:hAnsiTheme="majorHAnsi" w:cstheme="majorHAnsi"/>
          <w:sz w:val="20"/>
          <w:szCs w:val="20"/>
          <w:lang w:val="pl-PL"/>
        </w:rPr>
        <w:t>a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dolarów.</w:t>
      </w:r>
    </w:p>
    <w:p w14:paraId="0ECDC066" w14:textId="77777777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065ABC62" w14:textId="062885B6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Przychody z abonamentów w serwisach </w:t>
      </w:r>
      <w:proofErr w:type="spellStart"/>
      <w:r w:rsidRPr="00C61B1F">
        <w:rPr>
          <w:rFonts w:asciiTheme="majorHAnsi" w:hAnsiTheme="majorHAnsi" w:cstheme="majorHAnsi"/>
          <w:sz w:val="20"/>
          <w:szCs w:val="20"/>
          <w:lang w:val="pl-PL"/>
        </w:rPr>
        <w:t>streamingowych</w:t>
      </w:r>
      <w:proofErr w:type="spellEnd"/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wzrosły o 21,9% do poziomu 12,3 miliard</w:t>
      </w:r>
      <w:r w:rsidR="008D467A">
        <w:rPr>
          <w:rFonts w:asciiTheme="majorHAnsi" w:hAnsiTheme="majorHAnsi" w:cstheme="majorHAnsi"/>
          <w:sz w:val="20"/>
          <w:szCs w:val="20"/>
          <w:lang w:val="pl-PL"/>
        </w:rPr>
        <w:t>a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dolarów. Na koniec 2021 roku z płatnych kont korzystał</w:t>
      </w:r>
      <w:r w:rsidR="008D467A">
        <w:rPr>
          <w:rFonts w:asciiTheme="majorHAnsi" w:hAnsiTheme="majorHAnsi" w:cstheme="majorHAnsi"/>
          <w:sz w:val="20"/>
          <w:szCs w:val="20"/>
          <w:lang w:val="pl-PL"/>
        </w:rPr>
        <w:t>y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523 milion</w:t>
      </w:r>
      <w:r w:rsidR="008D467A">
        <w:rPr>
          <w:rFonts w:asciiTheme="majorHAnsi" w:hAnsiTheme="majorHAnsi" w:cstheme="majorHAnsi"/>
          <w:sz w:val="20"/>
          <w:szCs w:val="20"/>
          <w:lang w:val="pl-PL"/>
        </w:rPr>
        <w:t>y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użytkowników. Ogółem przychody z serwisów </w:t>
      </w:r>
      <w:proofErr w:type="spellStart"/>
      <w:r w:rsidRPr="00C61B1F">
        <w:rPr>
          <w:rFonts w:asciiTheme="majorHAnsi" w:hAnsiTheme="majorHAnsi" w:cstheme="majorHAnsi"/>
          <w:sz w:val="20"/>
          <w:szCs w:val="20"/>
          <w:lang w:val="pl-PL"/>
        </w:rPr>
        <w:t>streamingowych</w:t>
      </w:r>
      <w:proofErr w:type="spellEnd"/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(z kont abonamentowych oraz wspieranych reklamami) odnotowały wzrost o 24,3%, osiągając 16,9 miliarda dolarów, czyli 65% całkowitych światowych przychodów na rynku nagrań muzycznych. Wzrost odnotowała także sprzedaż muzyki w innych formatach: nośników fizycznych (+16,1%) i tantiem z odtwarzania muzyki (+4,0%).</w:t>
      </w:r>
    </w:p>
    <w:p w14:paraId="61F9BF56" w14:textId="77777777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452E27E0" w14:textId="5B9E3E9A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>Osiągnięcie tego wzrostu jest możliwe m.in. dzięki wysiłkom podejmowanym przez wytwórnie płytowe na rzecz szeroko pojętego środowiska muzycznego. Działając w oparciu o swoje lokalne zespoły i międzynarodową sieć profesjonalistów</w:t>
      </w:r>
      <w:r w:rsidR="008D467A">
        <w:rPr>
          <w:rFonts w:asciiTheme="majorHAnsi" w:hAnsiTheme="majorHAnsi" w:cstheme="majorHAnsi"/>
          <w:sz w:val="20"/>
          <w:szCs w:val="20"/>
          <w:lang w:val="pl-PL"/>
        </w:rPr>
        <w:t>,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inwestują w lokalnych artystów i gatunki muzyczne. Zarówno na rynkach o wysokim potencjale wzrostu w Azji, Ameryce Łacińskiej i Afryce, jak i na bardziej dojrzałym rynku europejskim czy amerykańskim, przemysł fonograficzny wspiera rozwój różnorodności lokalnych muzycznych ekosystemów.</w:t>
      </w:r>
    </w:p>
    <w:p w14:paraId="16BC89DB" w14:textId="77777777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5A0142FD" w14:textId="4EAFE20A" w:rsidR="00C61B1F" w:rsidRPr="00E82F69" w:rsidRDefault="00C61B1F" w:rsidP="00C61B1F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Otwierając konferencję prasową w Londynie, na której ogłoszono publikację raportu, szefowa IFPI Frances Moore wyraziła zaniepokojenie wydarzeniami na Ukrainie i wynikającym z nich kryzysem humanitarnym, mówiąc: </w:t>
      </w:r>
      <w:r w:rsidRPr="00E82F69">
        <w:rPr>
          <w:rFonts w:asciiTheme="majorHAnsi" w:hAnsiTheme="majorHAnsi" w:cstheme="majorHAnsi"/>
          <w:i/>
          <w:iCs/>
          <w:sz w:val="20"/>
          <w:szCs w:val="20"/>
          <w:lang w:val="pl-PL"/>
        </w:rPr>
        <w:t>IFPI łączy się z całą społecznością muzyczną we wsparciu wysiłków na rzecz zapewnienia pilnej pomocy humanitarnej dla uchodźców oraz w apelu do położenia kresu przemocy.</w:t>
      </w:r>
    </w:p>
    <w:p w14:paraId="7D73D918" w14:textId="77777777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605C7137" w14:textId="0CD8A1FC" w:rsidR="00C61B1F" w:rsidRPr="00E82F69" w:rsidRDefault="00C61B1F" w:rsidP="00C61B1F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lastRenderedPageBreak/>
        <w:t xml:space="preserve">Komentując „Global Music Report”, Moore kontynuowała: </w:t>
      </w:r>
      <w:r w:rsidRPr="00E82F69">
        <w:rPr>
          <w:rFonts w:asciiTheme="majorHAnsi" w:hAnsiTheme="majorHAnsi" w:cstheme="majorHAnsi"/>
          <w:i/>
          <w:iCs/>
          <w:sz w:val="20"/>
          <w:szCs w:val="20"/>
          <w:lang w:val="pl-PL"/>
        </w:rPr>
        <w:t>Na całym świecie firmy fonograficzne angażują się na poziomie lokalnym w rozwój rodzimej kultury muzycznej i nowych muzycznych ekosystemów poprzez promowanie lokalnej muzyki i stwarzanie możliwości jej dotarcia do odbiorców na całym świecie. Kolejne rynki dojrzewają i dołączają do różnorodnego, globalnie połączonego muzycznego świata, jednocześnie działając na jego rzecz.</w:t>
      </w:r>
    </w:p>
    <w:p w14:paraId="557042CA" w14:textId="77777777" w:rsidR="00C61B1F" w:rsidRPr="00E82F69" w:rsidRDefault="00C61B1F" w:rsidP="00C61B1F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l-PL"/>
        </w:rPr>
      </w:pPr>
    </w:p>
    <w:p w14:paraId="4EBF2A3B" w14:textId="2E37BD9D" w:rsidR="00C61B1F" w:rsidRPr="00E82F69" w:rsidRDefault="00C61B1F" w:rsidP="00C61B1F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l-PL"/>
        </w:rPr>
      </w:pPr>
      <w:r w:rsidRPr="00E82F69">
        <w:rPr>
          <w:rFonts w:asciiTheme="majorHAnsi" w:hAnsiTheme="majorHAnsi" w:cstheme="majorHAnsi"/>
          <w:i/>
          <w:iCs/>
          <w:sz w:val="20"/>
          <w:szCs w:val="20"/>
          <w:lang w:val="pl-PL"/>
        </w:rPr>
        <w:t>W konsekwencji dzisiejszy rynek muzyczny jest bardziej konkurencyjny niż kiedykolwiek wcześniej. Odbiorcy nigdy nie mieli dostępu do tak ogromnej oferty muzycznej, z której mogą korzystać na wiele różnorodnych i nowych sposobów. To stwarza także wielkie możliwości dla artystów. Ci, którzy decydują się na współpracę z wytwórnią fonograficzną</w:t>
      </w:r>
      <w:r w:rsidR="007E3F95" w:rsidRPr="00E82F69">
        <w:rPr>
          <w:rFonts w:asciiTheme="majorHAnsi" w:hAnsiTheme="majorHAnsi" w:cstheme="majorHAnsi"/>
          <w:i/>
          <w:iCs/>
          <w:sz w:val="20"/>
          <w:szCs w:val="20"/>
          <w:lang w:val="pl-PL"/>
        </w:rPr>
        <w:t>,</w:t>
      </w:r>
      <w:r w:rsidRPr="00E82F69">
        <w:rPr>
          <w:rFonts w:asciiTheme="majorHAnsi" w:hAnsiTheme="majorHAnsi" w:cstheme="majorHAnsi"/>
          <w:i/>
          <w:iCs/>
          <w:sz w:val="20"/>
          <w:szCs w:val="20"/>
          <w:lang w:val="pl-PL"/>
        </w:rPr>
        <w:t xml:space="preserve"> mają do dyspozycji sprawne globalne zespoły profesjonalistów, którzy mogą pomóc im w osiągnięciu twórczego i komercyjnego sukcesu oraz budowaniu długofalowej ścieżki kariery.</w:t>
      </w:r>
    </w:p>
    <w:p w14:paraId="16C3F406" w14:textId="77777777" w:rsidR="00C61B1F" w:rsidRPr="00E82F69" w:rsidRDefault="00C61B1F" w:rsidP="00C61B1F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l-PL"/>
        </w:rPr>
      </w:pPr>
    </w:p>
    <w:p w14:paraId="767554CE" w14:textId="1EA1549D" w:rsidR="00C61B1F" w:rsidRPr="00E82F69" w:rsidRDefault="00C61B1F" w:rsidP="00C61B1F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l-PL"/>
        </w:rPr>
      </w:pPr>
      <w:r w:rsidRPr="00E82F69">
        <w:rPr>
          <w:rFonts w:asciiTheme="majorHAnsi" w:hAnsiTheme="majorHAnsi" w:cstheme="majorHAnsi"/>
          <w:i/>
          <w:iCs/>
          <w:sz w:val="20"/>
          <w:szCs w:val="20"/>
          <w:lang w:val="pl-PL"/>
        </w:rPr>
        <w:t xml:space="preserve">Wraz z rozwojem technologii i środowiska cyfrowego pojawiają się również nowe kreatywne możliwości dzielenia się treściami muzycznymi. Od </w:t>
      </w:r>
      <w:proofErr w:type="spellStart"/>
      <w:r w:rsidRPr="00E82F69">
        <w:rPr>
          <w:rFonts w:asciiTheme="majorHAnsi" w:hAnsiTheme="majorHAnsi" w:cstheme="majorHAnsi"/>
          <w:i/>
          <w:iCs/>
          <w:sz w:val="20"/>
          <w:szCs w:val="20"/>
          <w:lang w:val="pl-PL"/>
        </w:rPr>
        <w:t>metaświata</w:t>
      </w:r>
      <w:proofErr w:type="spellEnd"/>
      <w:r w:rsidRPr="00E82F69">
        <w:rPr>
          <w:rFonts w:asciiTheme="majorHAnsi" w:hAnsiTheme="majorHAnsi" w:cstheme="majorHAnsi"/>
          <w:i/>
          <w:iCs/>
          <w:sz w:val="20"/>
          <w:szCs w:val="20"/>
          <w:lang w:val="pl-PL"/>
        </w:rPr>
        <w:t xml:space="preserve"> po muzykę w grach, wytwórnie płytowe zainwestowały w ludzi i technologie, aby dostarczać nowe, wysoce interaktywne doświadczenia, oferując kolejne sposoby nawiązywania przez artystów kontaktu ze swoimi fanami.</w:t>
      </w:r>
    </w:p>
    <w:p w14:paraId="0E435FBF" w14:textId="77777777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49BCCE12" w14:textId="570BC1C0" w:rsidR="00C61B1F" w:rsidRPr="00C61B1F" w:rsidRDefault="00C61B1F" w:rsidP="00C61B1F">
      <w:pPr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  <w:lang w:val="pl-PL"/>
        </w:rPr>
      </w:pPr>
      <w:r w:rsidRPr="00C61B1F">
        <w:rPr>
          <w:rFonts w:asciiTheme="majorHAnsi" w:hAnsiTheme="majorHAnsi" w:cstheme="majorHAnsi"/>
          <w:b/>
          <w:bCs/>
          <w:sz w:val="20"/>
          <w:szCs w:val="20"/>
          <w:u w:val="single"/>
          <w:lang w:val="pl-PL"/>
        </w:rPr>
        <w:t>Dane z innych regionów świata</w:t>
      </w:r>
    </w:p>
    <w:p w14:paraId="6B3A5E68" w14:textId="77777777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39449BC4" w14:textId="7914D2B1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>Przychody z nagrań muzycznych w 2021 roku wzrosły w każdym regionie świata</w:t>
      </w:r>
      <w:r w:rsidR="007E3F95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18187BE8" w14:textId="77777777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4C2D7A39" w14:textId="38532E3D" w:rsidR="00C61B1F" w:rsidRPr="00E82F69" w:rsidRDefault="00C61B1F" w:rsidP="00E82F69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>Sprzedaż na rynku azjatyckim wzrosła o 16,1%</w:t>
      </w:r>
      <w:r w:rsidR="007E3F95">
        <w:rPr>
          <w:rFonts w:asciiTheme="majorHAnsi" w:hAnsiTheme="majorHAnsi" w:cstheme="majorHAnsi"/>
          <w:sz w:val="20"/>
          <w:szCs w:val="20"/>
          <w:lang w:val="pl-PL"/>
        </w:rPr>
        <w:t>.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</w:t>
      </w:r>
      <w:r w:rsidR="007E3F95">
        <w:rPr>
          <w:rFonts w:asciiTheme="majorHAnsi" w:hAnsiTheme="majorHAnsi" w:cstheme="majorHAnsi"/>
          <w:sz w:val="20"/>
          <w:szCs w:val="20"/>
          <w:lang w:val="pl-PL"/>
        </w:rPr>
        <w:t>N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>ajwiększym rynkiem jest tu Japonia, która odnotowała wzrost o 9,3%. Wyłączając Japonię, region odnotował wzrost przychodów o 24,6%. Azja miała także istotny udział w globalnych przychodach ze sprzedaży nośników fizycznych (49,6%).</w:t>
      </w:r>
    </w:p>
    <w:p w14:paraId="07B6BB0C" w14:textId="77777777" w:rsidR="00C61B1F" w:rsidRPr="00C61B1F" w:rsidRDefault="00C61B1F" w:rsidP="00C61B1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Region </w:t>
      </w:r>
      <w:proofErr w:type="spellStart"/>
      <w:r w:rsidRPr="00C61B1F">
        <w:rPr>
          <w:rFonts w:asciiTheme="majorHAnsi" w:hAnsiTheme="majorHAnsi" w:cstheme="majorHAnsi"/>
          <w:sz w:val="20"/>
          <w:szCs w:val="20"/>
          <w:lang w:val="pl-PL"/>
        </w:rPr>
        <w:t>Australazji</w:t>
      </w:r>
      <w:proofErr w:type="spellEnd"/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odnotował wzrost o 4,1%. Australia (+3,4%) pozostała w pierwszej dziesiątce rynków na świecie, a Nowa Zelandia odnotowała wzrost przychodów z transmisji strumieniowych, co zaowocowało wzrostem na całym rynku o 8,2%.</w:t>
      </w:r>
    </w:p>
    <w:p w14:paraId="083262C7" w14:textId="6A219EB8" w:rsidR="00C61B1F" w:rsidRPr="00C61B1F" w:rsidRDefault="00C61B1F" w:rsidP="00C61B1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>Przychody w Europie, drugim co do wielkości rynk</w:t>
      </w:r>
      <w:r w:rsidR="007E3F95">
        <w:rPr>
          <w:rFonts w:asciiTheme="majorHAnsi" w:hAnsiTheme="majorHAnsi" w:cstheme="majorHAnsi"/>
          <w:sz w:val="20"/>
          <w:szCs w:val="20"/>
          <w:lang w:val="pl-PL"/>
        </w:rPr>
        <w:t>u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nagraniowym na świecie, wzrosły o 15,4%, co stanowi gwałtowny wzrost w porównaniu ze stopą wzrostu z poprzedniego roku</w:t>
      </w:r>
      <w:r w:rsidR="007E3F95">
        <w:rPr>
          <w:rFonts w:asciiTheme="majorHAnsi" w:hAnsiTheme="majorHAnsi" w:cstheme="majorHAnsi"/>
          <w:sz w:val="20"/>
          <w:szCs w:val="20"/>
          <w:lang w:val="pl-PL"/>
        </w:rPr>
        <w:t>,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wynoszącą 3,2%. Wszystkie największe rynki regionu odnotowały dwucyfrowy wzrost procentowy: Wielka Brytania (+13,2%), Niemcy (+12,6%) i Francja (+11,8%).</w:t>
      </w:r>
    </w:p>
    <w:p w14:paraId="10040E3D" w14:textId="26D2DA67" w:rsidR="00C61B1F" w:rsidRPr="00C61B1F" w:rsidRDefault="00C61B1F" w:rsidP="00C61B1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Ameryka Łacińska odnotowała wzrost o 31,2% </w:t>
      </w:r>
      <w:r w:rsidR="007E3F95">
        <w:rPr>
          <w:rFonts w:asciiTheme="majorHAnsi" w:hAnsiTheme="majorHAnsi" w:cstheme="majorHAnsi"/>
          <w:sz w:val="20"/>
          <w:szCs w:val="20"/>
          <w:lang w:val="pl-PL"/>
        </w:rPr>
        <w:t>–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jeden z najwyższych wskaźników wzrostu na świecie. Streaming stanowił 85,9% rynku, co stanowi jeden z najwyższych odsetek wśród wszystkich regionów.</w:t>
      </w:r>
    </w:p>
    <w:p w14:paraId="06A2F881" w14:textId="77777777" w:rsidR="00C61B1F" w:rsidRPr="00C61B1F" w:rsidRDefault="00C61B1F" w:rsidP="00C61B1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>Bliski Wschód i Afryka Północna – po raz pierwszy wyodrębnione jako osobny region w „Global Music Report” – odnotowały wzrost o 35,0%; to najszybsze tempo wzrostu regionalnego na świecie. Streaming był szczególnie silnym motorem napędowym w regionie, z 95,3% udziału w rynku.</w:t>
      </w:r>
    </w:p>
    <w:p w14:paraId="35242523" w14:textId="021167EE" w:rsidR="00C61B1F" w:rsidRPr="00C61B1F" w:rsidRDefault="00C61B1F" w:rsidP="00C61B1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Afryka Subsaharyjska – również wydzielona po raz pierwszy w raportach IFPI – odnotowała wzrost przychodów o 9,6% w 2021 r., głównie dzięki streamingowi. Wsparcie reklamowe było szczególnie silne w tym regionie </w:t>
      </w:r>
      <w:r w:rsidR="007E3F95">
        <w:rPr>
          <w:rFonts w:asciiTheme="majorHAnsi" w:hAnsiTheme="majorHAnsi" w:cstheme="majorHAnsi"/>
          <w:sz w:val="20"/>
          <w:szCs w:val="20"/>
          <w:lang w:val="pl-PL"/>
        </w:rPr>
        <w:t>–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przychody z tego formatu wzrosły o 56,4%.</w:t>
      </w:r>
    </w:p>
    <w:p w14:paraId="46B17300" w14:textId="77777777" w:rsidR="00C61B1F" w:rsidRPr="00C61B1F" w:rsidRDefault="00C61B1F" w:rsidP="00C61B1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t>Rynek USA i Kanady wzrósł o 22,0% w 2021 r., przewyższając globalną stopę wzrostu. Sam rynek amerykański wzrósł o 22,6%, a przychody z nagrań muzycznych w Kanadzie wzrosły o 12,6%.</w:t>
      </w:r>
    </w:p>
    <w:p w14:paraId="126B8E58" w14:textId="77777777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</w:p>
    <w:p w14:paraId="1D03EAA1" w14:textId="70CCC603" w:rsidR="00C61B1F" w:rsidRPr="00C61B1F" w:rsidRDefault="00C61B1F" w:rsidP="00C61B1F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C61B1F">
        <w:rPr>
          <w:rFonts w:asciiTheme="majorHAnsi" w:hAnsiTheme="majorHAnsi" w:cstheme="majorHAnsi"/>
          <w:sz w:val="20"/>
          <w:szCs w:val="20"/>
          <w:lang w:val="pl-PL"/>
        </w:rPr>
        <w:lastRenderedPageBreak/>
        <w:t>Pobierz bezpłatny raport „</w:t>
      </w:r>
      <w:r w:rsidRPr="00C61B1F">
        <w:rPr>
          <w:rFonts w:asciiTheme="majorHAnsi" w:hAnsiTheme="majorHAnsi" w:cstheme="majorHAnsi"/>
          <w:b/>
          <w:bCs/>
          <w:sz w:val="20"/>
          <w:szCs w:val="20"/>
          <w:lang w:val="pl-PL"/>
        </w:rPr>
        <w:t xml:space="preserve">Global Music Report 2022 – </w:t>
      </w:r>
      <w:proofErr w:type="spellStart"/>
      <w:r w:rsidRPr="00C61B1F">
        <w:rPr>
          <w:rFonts w:asciiTheme="majorHAnsi" w:hAnsiTheme="majorHAnsi" w:cstheme="majorHAnsi"/>
          <w:b/>
          <w:bCs/>
          <w:sz w:val="20"/>
          <w:szCs w:val="20"/>
          <w:lang w:val="pl-PL"/>
        </w:rPr>
        <w:t>State</w:t>
      </w:r>
      <w:proofErr w:type="spellEnd"/>
      <w:r w:rsidRPr="00C61B1F">
        <w:rPr>
          <w:rFonts w:asciiTheme="majorHAnsi" w:hAnsiTheme="majorHAnsi" w:cstheme="majorHAnsi"/>
          <w:b/>
          <w:bCs/>
          <w:sz w:val="20"/>
          <w:szCs w:val="20"/>
          <w:lang w:val="pl-PL"/>
        </w:rPr>
        <w:t xml:space="preserve"> of the </w:t>
      </w:r>
      <w:proofErr w:type="spellStart"/>
      <w:r w:rsidRPr="00C61B1F">
        <w:rPr>
          <w:rFonts w:asciiTheme="majorHAnsi" w:hAnsiTheme="majorHAnsi" w:cstheme="majorHAnsi"/>
          <w:b/>
          <w:bCs/>
          <w:sz w:val="20"/>
          <w:szCs w:val="20"/>
          <w:lang w:val="pl-PL"/>
        </w:rPr>
        <w:t>Industry</w:t>
      </w:r>
      <w:proofErr w:type="spellEnd"/>
      <w:r w:rsidRPr="00C61B1F">
        <w:rPr>
          <w:rFonts w:asciiTheme="majorHAnsi" w:hAnsiTheme="majorHAnsi" w:cstheme="majorHAnsi"/>
          <w:b/>
          <w:bCs/>
          <w:sz w:val="20"/>
          <w:szCs w:val="20"/>
          <w:lang w:val="pl-PL"/>
        </w:rPr>
        <w:t>”</w:t>
      </w:r>
      <w:r w:rsidRPr="00C61B1F">
        <w:rPr>
          <w:rFonts w:asciiTheme="majorHAnsi" w:hAnsiTheme="majorHAnsi" w:cstheme="majorHAnsi"/>
          <w:sz w:val="20"/>
          <w:szCs w:val="20"/>
          <w:lang w:val="pl-PL"/>
        </w:rPr>
        <w:t xml:space="preserve"> (w języku angielskim) </w:t>
      </w:r>
      <w:hyperlink r:id="rId11" w:history="1">
        <w:r w:rsidRPr="00C61B1F">
          <w:rPr>
            <w:rStyle w:val="Hipercze"/>
            <w:rFonts w:asciiTheme="majorHAnsi" w:hAnsiTheme="majorHAnsi" w:cstheme="majorHAnsi"/>
            <w:color w:val="00B0F0"/>
            <w:sz w:val="20"/>
            <w:szCs w:val="20"/>
            <w:lang w:val="pl-PL"/>
          </w:rPr>
          <w:t>tutaj</w:t>
        </w:r>
      </w:hyperlink>
      <w:r w:rsidRPr="00C61B1F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4B9CAB1C" w14:textId="77777777" w:rsidR="00F51944" w:rsidRPr="00F51944" w:rsidRDefault="00F51944" w:rsidP="00F51944">
      <w:pPr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F51944">
        <w:rPr>
          <w:rFonts w:asciiTheme="majorHAnsi" w:hAnsiTheme="majorHAnsi" w:cstheme="majorHAnsi"/>
          <w:sz w:val="20"/>
          <w:szCs w:val="20"/>
          <w:lang w:val="pl-PL"/>
        </w:rPr>
        <w:t>Pełen raport</w:t>
      </w:r>
      <w:r w:rsidRPr="00F51944">
        <w:rPr>
          <w:rFonts w:asciiTheme="majorHAnsi" w:hAnsiTheme="majorHAnsi" w:cstheme="majorHAnsi"/>
          <w:b/>
          <w:bCs/>
          <w:sz w:val="20"/>
          <w:szCs w:val="20"/>
          <w:lang w:val="pl-PL"/>
        </w:rPr>
        <w:t xml:space="preserve"> „IFPI Global Music Report 2022”</w:t>
      </w:r>
      <w:r w:rsidRPr="00F51944">
        <w:rPr>
          <w:rFonts w:asciiTheme="majorHAnsi" w:hAnsiTheme="majorHAnsi" w:cstheme="majorHAnsi"/>
          <w:sz w:val="20"/>
          <w:szCs w:val="20"/>
          <w:lang w:val="pl-PL"/>
        </w:rPr>
        <w:t xml:space="preserve"> – danymi i analizami do kupienia </w:t>
      </w:r>
      <w:hyperlink r:id="rId12" w:history="1">
        <w:r w:rsidRPr="00F51944">
          <w:rPr>
            <w:rStyle w:val="Hyperlink0"/>
            <w:rFonts w:asciiTheme="majorHAnsi" w:hAnsiTheme="majorHAnsi" w:cstheme="majorHAnsi"/>
            <w:color w:val="00B0F0"/>
            <w:sz w:val="20"/>
            <w:szCs w:val="20"/>
            <w:lang w:val="pl-PL"/>
          </w:rPr>
          <w:t>tutaj</w:t>
        </w:r>
      </w:hyperlink>
      <w:r w:rsidRPr="00F51944">
        <w:rPr>
          <w:rFonts w:asciiTheme="majorHAnsi" w:hAnsiTheme="majorHAnsi" w:cstheme="majorHAnsi"/>
          <w:sz w:val="20"/>
          <w:szCs w:val="20"/>
          <w:lang w:val="pl-PL"/>
        </w:rPr>
        <w:t>.</w:t>
      </w:r>
    </w:p>
    <w:p w14:paraId="584859C6" w14:textId="77777777" w:rsidR="001C0CEF" w:rsidRPr="00C61B1F" w:rsidRDefault="001C0CEF" w:rsidP="001C0CEF">
      <w:pPr>
        <w:jc w:val="both"/>
        <w:rPr>
          <w:rFonts w:asciiTheme="majorHAnsi" w:hAnsiTheme="majorHAnsi" w:cstheme="majorHAnsi"/>
          <w:lang w:val="pl-PL"/>
        </w:rPr>
      </w:pPr>
    </w:p>
    <w:p w14:paraId="00FE5DEB" w14:textId="75E6479D" w:rsidR="001C0CEF" w:rsidRPr="00C61B1F" w:rsidRDefault="001C0CEF" w:rsidP="001C0CEF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C61B1F">
        <w:rPr>
          <w:rFonts w:asciiTheme="majorHAnsi" w:hAnsiTheme="majorHAnsi" w:cstheme="majorHAnsi"/>
          <w:lang w:val="pl-PL"/>
        </w:rPr>
        <w:t>***</w:t>
      </w:r>
    </w:p>
    <w:p w14:paraId="3CA4C30D" w14:textId="29F5FEB1" w:rsidR="00EB46CD" w:rsidRPr="00C61B1F" w:rsidRDefault="00C240A5" w:rsidP="001C0CEF">
      <w:pPr>
        <w:pStyle w:val="NormalnyWeb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C61B1F">
        <w:rPr>
          <w:rFonts w:asciiTheme="majorHAnsi" w:hAnsiTheme="majorHAnsi" w:cstheme="majorHAnsi"/>
          <w:b/>
          <w:bCs/>
          <w:sz w:val="18"/>
          <w:szCs w:val="18"/>
          <w:lang w:val="pl-PL"/>
        </w:rPr>
        <w:t xml:space="preserve">O </w:t>
      </w:r>
      <w:r w:rsidR="00EB46CD" w:rsidRPr="00C61B1F">
        <w:rPr>
          <w:rFonts w:asciiTheme="majorHAnsi" w:hAnsiTheme="majorHAnsi" w:cstheme="majorHAnsi"/>
          <w:b/>
          <w:bCs/>
          <w:sz w:val="18"/>
          <w:szCs w:val="18"/>
          <w:lang w:val="pl-PL"/>
        </w:rPr>
        <w:t>IFPI</w:t>
      </w:r>
    </w:p>
    <w:p w14:paraId="17DB8FDC" w14:textId="6E4FF78C" w:rsidR="00EB46CD" w:rsidRPr="00C61B1F" w:rsidRDefault="00C240A5" w:rsidP="001C0CEF">
      <w:pPr>
        <w:pStyle w:val="NormalnyWeb"/>
        <w:jc w:val="both"/>
        <w:rPr>
          <w:rFonts w:asciiTheme="majorHAnsi" w:hAnsiTheme="majorHAnsi" w:cstheme="majorHAnsi"/>
          <w:sz w:val="18"/>
          <w:szCs w:val="18"/>
          <w:lang w:val="pl-PL"/>
        </w:rPr>
      </w:pP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IFPI jest organizacją promującą interesy przemysłu fonograficznego na całym świecie. </w:t>
      </w:r>
      <w:r w:rsidR="00246AB2" w:rsidRPr="00C61B1F">
        <w:rPr>
          <w:rFonts w:asciiTheme="majorHAnsi" w:hAnsiTheme="majorHAnsi" w:cstheme="majorHAnsi"/>
          <w:sz w:val="18"/>
          <w:szCs w:val="18"/>
          <w:lang w:val="pl-PL"/>
        </w:rPr>
        <w:t>W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raz z siecią swoich </w:t>
      </w:r>
      <w:r w:rsidR="00246AB2" w:rsidRPr="00C61B1F">
        <w:rPr>
          <w:rFonts w:asciiTheme="majorHAnsi" w:hAnsiTheme="majorHAnsi" w:cstheme="majorHAnsi"/>
          <w:sz w:val="18"/>
          <w:szCs w:val="18"/>
          <w:lang w:val="pl-PL"/>
        </w:rPr>
        <w:t>g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rup </w:t>
      </w:r>
      <w:r w:rsidR="00246AB2" w:rsidRPr="00C61B1F">
        <w:rPr>
          <w:rFonts w:asciiTheme="majorHAnsi" w:hAnsiTheme="majorHAnsi" w:cstheme="majorHAnsi"/>
          <w:sz w:val="18"/>
          <w:szCs w:val="18"/>
          <w:lang w:val="pl-PL"/>
        </w:rPr>
        <w:t>k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>rajowych posiada ponad 8 </w:t>
      </w:r>
      <w:r w:rsidR="0094513B" w:rsidRPr="00C61B1F">
        <w:rPr>
          <w:rFonts w:asciiTheme="majorHAnsi" w:hAnsiTheme="majorHAnsi" w:cstheme="majorHAnsi"/>
          <w:sz w:val="18"/>
          <w:szCs w:val="18"/>
          <w:lang w:val="pl-PL"/>
        </w:rPr>
        <w:t>tys.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 członków w ponad 70 krajach świata. IFPI operuje poprzez 70 biur</w:t>
      </w:r>
      <w:r w:rsidR="00A117A6">
        <w:rPr>
          <w:rFonts w:asciiTheme="majorHAnsi" w:hAnsiTheme="majorHAnsi" w:cstheme="majorHAnsi"/>
          <w:sz w:val="18"/>
          <w:szCs w:val="18"/>
          <w:lang w:val="pl-PL"/>
        </w:rPr>
        <w:t>ami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 regionalny</w:t>
      </w:r>
      <w:r w:rsidR="00A117A6">
        <w:rPr>
          <w:rFonts w:asciiTheme="majorHAnsi" w:hAnsiTheme="majorHAnsi" w:cstheme="majorHAnsi"/>
          <w:sz w:val="18"/>
          <w:szCs w:val="18"/>
          <w:lang w:val="pl-PL"/>
        </w:rPr>
        <w:t>mi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, </w:t>
      </w:r>
      <w:r w:rsidR="00246AB2" w:rsidRPr="00C61B1F">
        <w:rPr>
          <w:rFonts w:asciiTheme="majorHAnsi" w:hAnsiTheme="majorHAnsi" w:cstheme="majorHAnsi"/>
          <w:sz w:val="18"/>
          <w:szCs w:val="18"/>
          <w:lang w:val="pl-PL"/>
        </w:rPr>
        <w:t>g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>rup</w:t>
      </w:r>
      <w:r w:rsidR="00A117A6">
        <w:rPr>
          <w:rFonts w:asciiTheme="majorHAnsi" w:hAnsiTheme="majorHAnsi" w:cstheme="majorHAnsi"/>
          <w:sz w:val="18"/>
          <w:szCs w:val="18"/>
          <w:lang w:val="pl-PL"/>
        </w:rPr>
        <w:t>ami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 </w:t>
      </w:r>
      <w:r w:rsidR="00246AB2" w:rsidRPr="00C61B1F">
        <w:rPr>
          <w:rFonts w:asciiTheme="majorHAnsi" w:hAnsiTheme="majorHAnsi" w:cstheme="majorHAnsi"/>
          <w:sz w:val="18"/>
          <w:szCs w:val="18"/>
          <w:lang w:val="pl-PL"/>
        </w:rPr>
        <w:t>k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>rajowy</w:t>
      </w:r>
      <w:r w:rsidR="00A117A6">
        <w:rPr>
          <w:rFonts w:asciiTheme="majorHAnsi" w:hAnsiTheme="majorHAnsi" w:cstheme="majorHAnsi"/>
          <w:sz w:val="18"/>
          <w:szCs w:val="18"/>
          <w:lang w:val="pl-PL"/>
        </w:rPr>
        <w:t>mi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 i stowarzyszony</w:t>
      </w:r>
      <w:r w:rsidR="00A117A6">
        <w:rPr>
          <w:rFonts w:asciiTheme="majorHAnsi" w:hAnsiTheme="majorHAnsi" w:cstheme="majorHAnsi"/>
          <w:sz w:val="18"/>
          <w:szCs w:val="18"/>
          <w:lang w:val="pl-PL"/>
        </w:rPr>
        <w:t>mi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 organizacj</w:t>
      </w:r>
      <w:r w:rsidR="00A117A6">
        <w:rPr>
          <w:rFonts w:asciiTheme="majorHAnsi" w:hAnsiTheme="majorHAnsi" w:cstheme="majorHAnsi"/>
          <w:sz w:val="18"/>
          <w:szCs w:val="18"/>
          <w:lang w:val="pl-PL"/>
        </w:rPr>
        <w:t>ami</w:t>
      </w:r>
      <w:r w:rsidRPr="00C61B1F">
        <w:rPr>
          <w:rFonts w:asciiTheme="majorHAnsi" w:hAnsiTheme="majorHAnsi" w:cstheme="majorHAnsi"/>
          <w:sz w:val="18"/>
          <w:szCs w:val="18"/>
          <w:lang w:val="pl-PL"/>
        </w:rPr>
        <w:t xml:space="preserve"> zbiorowego zarządzania. Misją IFPI jest promowanie wartości nagrań muzycznych, występowanie w interesie praw producentów fonograficznych i rozszerzanie komercyjnego wykorzystania muzyki na wszystkich rynkach, na których operują członkowie organizacji.</w:t>
      </w:r>
    </w:p>
    <w:p w14:paraId="7C4F0433" w14:textId="77777777" w:rsidR="00E61114" w:rsidRPr="00C61B1F" w:rsidRDefault="00E61114" w:rsidP="001C0CEF">
      <w:pPr>
        <w:pStyle w:val="NormalnyWeb"/>
        <w:jc w:val="both"/>
        <w:rPr>
          <w:rFonts w:asciiTheme="majorHAnsi" w:hAnsiTheme="majorHAnsi" w:cstheme="majorHAnsi"/>
          <w:sz w:val="18"/>
          <w:szCs w:val="18"/>
          <w:lang w:val="pl-PL"/>
        </w:rPr>
      </w:pPr>
    </w:p>
    <w:p w14:paraId="6B9D3970" w14:textId="77777777" w:rsidR="001C0CEF" w:rsidRPr="00C61B1F" w:rsidRDefault="001C0CEF" w:rsidP="001C0CEF">
      <w:pPr>
        <w:jc w:val="both"/>
        <w:rPr>
          <w:rFonts w:asciiTheme="majorHAnsi" w:hAnsiTheme="majorHAnsi" w:cstheme="majorHAnsi"/>
          <w:b/>
          <w:bCs/>
          <w:u w:val="single"/>
          <w:lang w:val="pl-PL"/>
        </w:rPr>
      </w:pPr>
      <w:r w:rsidRPr="00C61B1F">
        <w:rPr>
          <w:rFonts w:asciiTheme="majorHAnsi" w:hAnsiTheme="majorHAnsi" w:cstheme="majorHAnsi"/>
          <w:b/>
          <w:bCs/>
          <w:u w:val="single"/>
          <w:lang w:val="pl-PL"/>
        </w:rPr>
        <w:t>Informacje dodatkowe:</w:t>
      </w:r>
    </w:p>
    <w:p w14:paraId="245774A2" w14:textId="3552C0A4" w:rsidR="007F5EF3" w:rsidRPr="00E82F69" w:rsidRDefault="00F35ABF" w:rsidP="001C0CEF">
      <w:pPr>
        <w:jc w:val="both"/>
        <w:rPr>
          <w:rFonts w:asciiTheme="majorHAnsi" w:hAnsiTheme="majorHAnsi" w:cstheme="majorHAnsi"/>
          <w:lang w:val="pl-PL"/>
        </w:rPr>
      </w:pPr>
      <w:hyperlink r:id="rId13" w:history="1">
        <w:r w:rsidR="001C0CEF" w:rsidRPr="00E82F69">
          <w:rPr>
            <w:rStyle w:val="Hipercze"/>
            <w:rFonts w:asciiTheme="majorHAnsi" w:hAnsiTheme="majorHAnsi" w:cstheme="majorHAnsi"/>
            <w:lang w:val="pl-PL"/>
          </w:rPr>
          <w:t>press@ifpi.org</w:t>
        </w:r>
      </w:hyperlink>
      <w:r w:rsidR="001C0CEF" w:rsidRPr="00E82F69">
        <w:rPr>
          <w:rStyle w:val="Hipercze"/>
          <w:rFonts w:asciiTheme="majorHAnsi" w:hAnsiTheme="majorHAnsi" w:cstheme="majorHAnsi"/>
          <w:lang w:val="pl-PL"/>
        </w:rPr>
        <w:t xml:space="preserve"> |</w:t>
      </w:r>
      <w:r w:rsidR="001C0CEF" w:rsidRPr="00E82F69">
        <w:rPr>
          <w:rFonts w:asciiTheme="majorHAnsi" w:hAnsiTheme="majorHAnsi" w:cstheme="majorHAnsi"/>
          <w:lang w:val="pl-PL"/>
        </w:rPr>
        <w:t>+44 (0)20 7878 7979</w:t>
      </w:r>
    </w:p>
    <w:sectPr w:rsidR="007F5EF3" w:rsidRPr="00E82F69" w:rsidSect="00C61B1F">
      <w:headerReference w:type="default" r:id="rId14"/>
      <w:pgSz w:w="11906" w:h="16838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EBE3" w14:textId="77777777" w:rsidR="00F35ABF" w:rsidRDefault="00F35ABF" w:rsidP="00EB46CD">
      <w:pPr>
        <w:spacing w:after="0" w:line="240" w:lineRule="auto"/>
      </w:pPr>
      <w:r>
        <w:separator/>
      </w:r>
    </w:p>
  </w:endnote>
  <w:endnote w:type="continuationSeparator" w:id="0">
    <w:p w14:paraId="21816BB3" w14:textId="77777777" w:rsidR="00F35ABF" w:rsidRDefault="00F35ABF" w:rsidP="00EB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89FB" w14:textId="77777777" w:rsidR="00F35ABF" w:rsidRDefault="00F35ABF" w:rsidP="00EB46CD">
      <w:pPr>
        <w:spacing w:after="0" w:line="240" w:lineRule="auto"/>
      </w:pPr>
      <w:r>
        <w:separator/>
      </w:r>
    </w:p>
  </w:footnote>
  <w:footnote w:type="continuationSeparator" w:id="0">
    <w:p w14:paraId="00AA7439" w14:textId="77777777" w:rsidR="00F35ABF" w:rsidRDefault="00F35ABF" w:rsidP="00EB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F190" w14:textId="6E87CBCF" w:rsidR="00C61B1F" w:rsidRPr="00C61B1F" w:rsidRDefault="005B5E58" w:rsidP="00C61B1F">
    <w:pPr>
      <w:jc w:val="both"/>
      <w:rPr>
        <w:rStyle w:val="Pogrubienie"/>
        <w:rFonts w:asciiTheme="majorHAnsi" w:hAnsiTheme="majorHAnsi" w:cstheme="majorHAnsi"/>
        <w:b w:val="0"/>
        <w:bCs w:val="0"/>
        <w:color w:val="000000"/>
        <w:sz w:val="28"/>
        <w:szCs w:val="28"/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7467F5" wp14:editId="7ED2C008">
          <wp:simplePos x="0" y="0"/>
          <wp:positionH relativeFrom="column">
            <wp:posOffset>5085715</wp:posOffset>
          </wp:positionH>
          <wp:positionV relativeFrom="paragraph">
            <wp:posOffset>242765</wp:posOffset>
          </wp:positionV>
          <wp:extent cx="646430" cy="686435"/>
          <wp:effectExtent l="0" t="0" r="1270" b="0"/>
          <wp:wrapThrough wrapText="bothSides">
            <wp:wrapPolygon edited="0">
              <wp:start x="7639" y="0"/>
              <wp:lineTo x="0" y="5994"/>
              <wp:lineTo x="0" y="20981"/>
              <wp:lineTo x="14004" y="20981"/>
              <wp:lineTo x="21006" y="19182"/>
              <wp:lineTo x="21006" y="0"/>
              <wp:lineTo x="10185" y="0"/>
              <wp:lineTo x="763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B1F" w:rsidRPr="00C61B1F">
      <w:rPr>
        <w:rStyle w:val="Pogrubienie"/>
        <w:rFonts w:asciiTheme="majorHAnsi" w:hAnsiTheme="majorHAnsi" w:cstheme="majorHAnsi"/>
        <w:b w:val="0"/>
        <w:bCs w:val="0"/>
        <w:color w:val="000000"/>
        <w:sz w:val="28"/>
        <w:szCs w:val="28"/>
        <w:lang w:val="pl-PL"/>
      </w:rPr>
      <w:t>Informacja prasowa</w:t>
    </w:r>
    <w:r w:rsidR="00C61B1F" w:rsidRPr="00C61B1F">
      <w:rPr>
        <w:rStyle w:val="Pogrubienie"/>
        <w:rFonts w:asciiTheme="majorHAnsi" w:hAnsiTheme="majorHAnsi" w:cstheme="majorHAnsi"/>
        <w:b w:val="0"/>
        <w:bCs w:val="0"/>
        <w:color w:val="000000"/>
        <w:sz w:val="28"/>
        <w:szCs w:val="28"/>
        <w:lang w:val="pl-PL"/>
      </w:rPr>
      <w:tab/>
    </w:r>
    <w:r w:rsidR="00C61B1F" w:rsidRPr="00C61B1F">
      <w:rPr>
        <w:rStyle w:val="Pogrubienie"/>
        <w:rFonts w:asciiTheme="majorHAnsi" w:hAnsiTheme="majorHAnsi" w:cstheme="majorHAnsi"/>
        <w:b w:val="0"/>
        <w:bCs w:val="0"/>
        <w:color w:val="000000"/>
        <w:sz w:val="28"/>
        <w:szCs w:val="28"/>
        <w:lang w:val="pl-PL"/>
      </w:rPr>
      <w:tab/>
    </w:r>
    <w:r w:rsidR="00C61B1F" w:rsidRPr="00C61B1F">
      <w:rPr>
        <w:rStyle w:val="Pogrubienie"/>
        <w:rFonts w:asciiTheme="majorHAnsi" w:hAnsiTheme="majorHAnsi" w:cstheme="majorHAnsi"/>
        <w:b w:val="0"/>
        <w:bCs w:val="0"/>
        <w:color w:val="000000"/>
        <w:sz w:val="28"/>
        <w:szCs w:val="28"/>
        <w:lang w:val="pl-PL"/>
      </w:rPr>
      <w:tab/>
    </w:r>
    <w:r w:rsidR="00C61B1F" w:rsidRPr="00C61B1F">
      <w:rPr>
        <w:rStyle w:val="Pogrubienie"/>
        <w:rFonts w:asciiTheme="majorHAnsi" w:hAnsiTheme="majorHAnsi" w:cstheme="majorHAnsi"/>
        <w:b w:val="0"/>
        <w:bCs w:val="0"/>
        <w:color w:val="000000"/>
        <w:sz w:val="28"/>
        <w:szCs w:val="28"/>
        <w:lang w:val="pl-PL"/>
      </w:rPr>
      <w:tab/>
    </w:r>
  </w:p>
  <w:p w14:paraId="393652A4" w14:textId="77777777" w:rsidR="005B5E58" w:rsidRDefault="005B5E58">
    <w:pPr>
      <w:pStyle w:val="Nagwek"/>
    </w:pPr>
  </w:p>
  <w:p w14:paraId="3EDE2FDD" w14:textId="37B67A8A" w:rsidR="00C61B1F" w:rsidRDefault="00C61B1F">
    <w:pPr>
      <w:pStyle w:val="Nagwek"/>
    </w:pPr>
  </w:p>
  <w:p w14:paraId="79E9F34C" w14:textId="4DF902D4" w:rsidR="00C61B1F" w:rsidRDefault="00C61B1F">
    <w:pPr>
      <w:pStyle w:val="Nagwek"/>
    </w:pPr>
  </w:p>
  <w:p w14:paraId="4F2FC68D" w14:textId="77777777" w:rsidR="00C61B1F" w:rsidRDefault="00C61B1F">
    <w:pPr>
      <w:pStyle w:val="Nagwek"/>
    </w:pPr>
  </w:p>
  <w:p w14:paraId="78346915" w14:textId="5F1F6099" w:rsidR="00EB46CD" w:rsidRDefault="00EB4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29A"/>
    <w:multiLevelType w:val="hybridMultilevel"/>
    <w:tmpl w:val="8DCC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32538"/>
    <w:multiLevelType w:val="hybridMultilevel"/>
    <w:tmpl w:val="33C8D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7E99"/>
    <w:multiLevelType w:val="hybridMultilevel"/>
    <w:tmpl w:val="3536A7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0640412"/>
    <w:multiLevelType w:val="hybridMultilevel"/>
    <w:tmpl w:val="A658E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68138">
    <w:abstractNumId w:val="2"/>
  </w:num>
  <w:num w:numId="2" w16cid:durableId="202602204">
    <w:abstractNumId w:val="0"/>
  </w:num>
  <w:num w:numId="3" w16cid:durableId="608587436">
    <w:abstractNumId w:val="1"/>
  </w:num>
  <w:num w:numId="4" w16cid:durableId="188987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MDYzMzEwMTU0NDFW0lEKTi0uzszPAykwrAUAMbs2RiwAAAA="/>
  </w:docVars>
  <w:rsids>
    <w:rsidRoot w:val="00EB46CD"/>
    <w:rsid w:val="00054962"/>
    <w:rsid w:val="001C0CEF"/>
    <w:rsid w:val="0020673A"/>
    <w:rsid w:val="00233C9B"/>
    <w:rsid w:val="002404D8"/>
    <w:rsid w:val="00246AB2"/>
    <w:rsid w:val="00286DB6"/>
    <w:rsid w:val="002B25FE"/>
    <w:rsid w:val="00304E13"/>
    <w:rsid w:val="003F6BA5"/>
    <w:rsid w:val="004855A5"/>
    <w:rsid w:val="00496D69"/>
    <w:rsid w:val="0052069A"/>
    <w:rsid w:val="005473FA"/>
    <w:rsid w:val="005B5E58"/>
    <w:rsid w:val="006141DE"/>
    <w:rsid w:val="00636611"/>
    <w:rsid w:val="006F1EF3"/>
    <w:rsid w:val="007023C1"/>
    <w:rsid w:val="00725AD5"/>
    <w:rsid w:val="007B4AAB"/>
    <w:rsid w:val="007B56C2"/>
    <w:rsid w:val="007E3F95"/>
    <w:rsid w:val="007F5EF3"/>
    <w:rsid w:val="00894C57"/>
    <w:rsid w:val="008D467A"/>
    <w:rsid w:val="008E1CFA"/>
    <w:rsid w:val="008F4B26"/>
    <w:rsid w:val="0094513B"/>
    <w:rsid w:val="00960FDB"/>
    <w:rsid w:val="00984327"/>
    <w:rsid w:val="009B043F"/>
    <w:rsid w:val="00A117A6"/>
    <w:rsid w:val="00A16EBF"/>
    <w:rsid w:val="00A60D03"/>
    <w:rsid w:val="00AA6348"/>
    <w:rsid w:val="00B053D0"/>
    <w:rsid w:val="00B33D4B"/>
    <w:rsid w:val="00B374F4"/>
    <w:rsid w:val="00B64B2F"/>
    <w:rsid w:val="00BE776C"/>
    <w:rsid w:val="00BF3068"/>
    <w:rsid w:val="00C23D33"/>
    <w:rsid w:val="00C240A5"/>
    <w:rsid w:val="00C24857"/>
    <w:rsid w:val="00C61B1F"/>
    <w:rsid w:val="00C63915"/>
    <w:rsid w:val="00D2147B"/>
    <w:rsid w:val="00D31EF6"/>
    <w:rsid w:val="00D6656C"/>
    <w:rsid w:val="00D948E9"/>
    <w:rsid w:val="00DE396F"/>
    <w:rsid w:val="00DF6BB6"/>
    <w:rsid w:val="00E61114"/>
    <w:rsid w:val="00E6454B"/>
    <w:rsid w:val="00E720FB"/>
    <w:rsid w:val="00E82F69"/>
    <w:rsid w:val="00E831D6"/>
    <w:rsid w:val="00E8712E"/>
    <w:rsid w:val="00E92511"/>
    <w:rsid w:val="00EB46CD"/>
    <w:rsid w:val="00EB7345"/>
    <w:rsid w:val="00F10880"/>
    <w:rsid w:val="00F15380"/>
    <w:rsid w:val="00F22D55"/>
    <w:rsid w:val="00F35ABF"/>
    <w:rsid w:val="00F51944"/>
    <w:rsid w:val="00FB6657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21EF9"/>
  <w15:chartTrackingRefBased/>
  <w15:docId w15:val="{9D262130-BC94-4632-9C7E-49B9A6BC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B46CD"/>
    <w:pPr>
      <w:ind w:left="720"/>
      <w:contextualSpacing/>
    </w:pPr>
  </w:style>
  <w:style w:type="paragraph" w:styleId="NormalnyWeb">
    <w:name w:val="Normal (Web)"/>
    <w:basedOn w:val="Normalny"/>
    <w:uiPriority w:val="99"/>
    <w:rsid w:val="00EB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EB46CD"/>
    <w:rPr>
      <w:b/>
      <w:bCs/>
    </w:rPr>
  </w:style>
  <w:style w:type="character" w:styleId="Hipercze">
    <w:name w:val="Hyperlink"/>
    <w:basedOn w:val="Domylnaczcionkaakapitu"/>
    <w:rsid w:val="00EB46CD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6CD"/>
  </w:style>
  <w:style w:type="paragraph" w:styleId="Nagwek">
    <w:name w:val="header"/>
    <w:basedOn w:val="Normalny"/>
    <w:link w:val="NagwekZnak"/>
    <w:uiPriority w:val="99"/>
    <w:unhideWhenUsed/>
    <w:rsid w:val="00EB4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6CD"/>
  </w:style>
  <w:style w:type="paragraph" w:styleId="Stopka">
    <w:name w:val="footer"/>
    <w:basedOn w:val="Normalny"/>
    <w:link w:val="StopkaZnak"/>
    <w:uiPriority w:val="99"/>
    <w:unhideWhenUsed/>
    <w:rsid w:val="00EB4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6CD"/>
  </w:style>
  <w:style w:type="character" w:styleId="Odwoaniedokomentarza">
    <w:name w:val="annotation reference"/>
    <w:basedOn w:val="Domylnaczcionkaakapitu"/>
    <w:uiPriority w:val="99"/>
    <w:semiHidden/>
    <w:unhideWhenUsed/>
    <w:rsid w:val="00945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1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1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1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1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3FA"/>
    <w:rPr>
      <w:color w:val="605E5C"/>
      <w:shd w:val="clear" w:color="auto" w:fill="E1DFDD"/>
    </w:rPr>
  </w:style>
  <w:style w:type="character" w:customStyle="1" w:styleId="Hyperlink0">
    <w:name w:val="Hyperlink.0"/>
    <w:basedOn w:val="Domylnaczcionkaakapitu"/>
    <w:rsid w:val="00C61B1F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character" w:styleId="UyteHipercze">
    <w:name w:val="FollowedHyperlink"/>
    <w:basedOn w:val="Domylnaczcionkaakapitu"/>
    <w:uiPriority w:val="99"/>
    <w:semiHidden/>
    <w:unhideWhenUsed/>
    <w:rsid w:val="008D4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ess@ifp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mr.ifpi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fpi.org/resourc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fpi.org/resour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F90B04B7B949BFF239C766453427" ma:contentTypeVersion="12" ma:contentTypeDescription="Create a new document." ma:contentTypeScope="" ma:versionID="4e55a063b0cec35eef614884a321902f">
  <xsd:schema xmlns:xsd="http://www.w3.org/2001/XMLSchema" xmlns:xs="http://www.w3.org/2001/XMLSchema" xmlns:p="http://schemas.microsoft.com/office/2006/metadata/properties" xmlns:ns2="f6bd6c81-1d77-431a-96f6-b584d06c0276" xmlns:ns3="74b0efb2-7030-4e66-92e6-a801e305edca" targetNamespace="http://schemas.microsoft.com/office/2006/metadata/properties" ma:root="true" ma:fieldsID="b526668a41a5989d501948ca44e78a3d" ns2:_="" ns3:_="">
    <xsd:import namespace="f6bd6c81-1d77-431a-96f6-b584d06c0276"/>
    <xsd:import namespace="74b0efb2-7030-4e66-92e6-a801e305e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6c81-1d77-431a-96f6-b584d06c0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efb2-7030-4e66-92e6-a801e305e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ED948-2684-4579-B502-0BE74FED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6c81-1d77-431a-96f6-b584d06c0276"/>
    <ds:schemaRef ds:uri="74b0efb2-7030-4e66-92e6-a801e305e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A1F1D-4FCC-4A83-AA3B-50DE9D83C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9E65C-F41C-4964-BA7E-3AD5C5E85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Goldthorpe</dc:creator>
  <cp:keywords/>
  <dc:description/>
  <cp:lastModifiedBy>Katarzyna Kowalewska</cp:lastModifiedBy>
  <cp:revision>3</cp:revision>
  <dcterms:created xsi:type="dcterms:W3CDTF">2022-03-22T14:11:00Z</dcterms:created>
  <dcterms:modified xsi:type="dcterms:W3CDTF">2022-03-22T15:00:00Z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0x010100535AF90B04B7B949BFF239C766453427</vt:lpwstr>
  </property>
</Properties>
</file>