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D6" w:rsidRPr="008F24D6" w:rsidRDefault="008F24D6" w:rsidP="008F24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24D6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pl-PL"/>
        </w:rPr>
        <w:t>Stanowisko ZPAV w sprawie za</w:t>
      </w:r>
      <w:bookmarkStart w:id="0" w:name="_GoBack"/>
      <w:bookmarkEnd w:id="0"/>
      <w:r w:rsidRPr="008F24D6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pl-PL"/>
        </w:rPr>
        <w:t>kazu blokowania geograficznego</w:t>
      </w:r>
    </w:p>
    <w:p w:rsidR="008F24D6" w:rsidRPr="008F24D6" w:rsidRDefault="008F24D6" w:rsidP="008F24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i/>
          <w:iCs/>
          <w:color w:val="000000"/>
          <w:sz w:val="24"/>
          <w:szCs w:val="24"/>
          <w:lang w:eastAsia="pl-PL"/>
        </w:rPr>
        <w:t>Dotyczy: Rozporządzenia w sprawie blokowania geograficznego</w:t>
      </w:r>
    </w:p>
    <w:p w:rsidR="008F24D6" w:rsidRPr="008F24D6" w:rsidRDefault="008F24D6" w:rsidP="008F24D6">
      <w:pPr>
        <w:shd w:val="clear" w:color="auto" w:fill="FFFFFF"/>
        <w:spacing w:after="240" w:line="224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8F24D6">
        <w:rPr>
          <w:rFonts w:ascii="Helvetica" w:eastAsia="Times New Roman" w:hAnsi="Helvetica" w:cs="Helvetica"/>
          <w:color w:val="000000"/>
          <w:sz w:val="24"/>
          <w:szCs w:val="24"/>
          <w:lang w:eastAsia="pl-PL"/>
        </w:rPr>
        <w:t>W imieniu Związku Producentów Audio Video, reprezentującego polskich producentów muzycznych, zwracam się z prośbą o podjęcie pilnych działań, mających na celu </w:t>
      </w:r>
      <w:r w:rsidRPr="008F24D6"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pl-PL"/>
        </w:rPr>
        <w:t>pozostawienie poza zakresem stosowania</w:t>
      </w:r>
      <w:r w:rsidRPr="008F24D6">
        <w:rPr>
          <w:rFonts w:ascii="Helvetica" w:eastAsia="Times New Roman" w:hAnsi="Helvetica" w:cs="Helvetica"/>
          <w:color w:val="000000"/>
          <w:sz w:val="24"/>
          <w:szCs w:val="24"/>
          <w:lang w:eastAsia="pl-PL"/>
        </w:rPr>
        <w:t> rozporządzenia Parlamentu Europejskiego i Rady w sprawie blokowania geograficznego oraz innych form dyskryminacji ze względu na przynależność państwową klientów, ich miejsce zamieszkania lub prowadzenia działalności na rynku wewnętrznym (dokument Komisji Europejskiej 2016/0152 (COD)) </w:t>
      </w:r>
      <w:r w:rsidRPr="008F24D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usług, związanych z dostarczaniem lub świadczeniem nieaudiowizualnych treści chronionych prawem autorskim, w tym muzyki.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Od wielu miesięcy w Parlamencie Europejskim trwają prace nad wnioskiem Komisji w tej sprawie. W najbliższym czasie Komisja Rynku Wewnętrznego i Ochrony Konsumentów (IMCO) będzie podejmować decyzję o ostatecznym, na tym etapie prac, tekście zmiany w ww. zakresie.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19 stycznia 2017 roku został opublikowany tekst projektu opinii Komisji Prawnej  (JURI) sygnowany za nr 2016/0152(COD), w którym proponuje się włączenie w zakres przedmiotowego rozporządzenia elektronicznego dostarczania lub świadczenia nieaudiowizualnych utworów lub usług chronionych prawem autorskim, w tym książek elektronicznych, gier komputerowych, oprogramowania i muzyki - od chwili wejścia w życie rozporządzenia.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Stanowisko to jest głęboko niesłuszne i podjęte zostało wbrew oczekiwaniom polskich i zagranicznych producentów muzycznych, a co równie ważne – wbrew istotnym interesom konsumentów, w tym w szczególności w Polsce.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Wbrew upublicznianym opiniom, iż taka propozycja umożliwi powszechny i równy dostęp do muzyki konsumentom, istnieje wysokie ryzyko, iż takie „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uwspólnienie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” warunków doprowadzi do kilkukrotnego wzrostu cen świadczenia tych usług w naszym kraju poprzez zrównanie ich z tymi, które obowiązują np. w strefie euro. Tym samym ograniczy znacznie możliwość korzystania z szerokiego dostępu do utworów, oferowanego przez serwisy muzyczne on-line.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Przypomnę, iż w propozycji Komisji Europejskiej cyfrowe serwisy muzyczne zostały wyłączone spod zakazu blokowania geograficznego (art. 4(1)(b)) i podlegają klauzuli przeglądu po 2 latach obowiązywania nowej regulacji (art.9).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Związek Producentów Audio Video w imieniu polskiego sektora muzycznego zdecydowanie popiera tę propozycję Komisji, podkreślając, że zastosowanie zakazu blokowania geograficznego w odniesieniu do serwisów oferujących treści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prawnoautorskie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, w tym muzykę, będzie miało negatywny wpływ na europejski rynek muzyki dystrybuowanej cyfrowo, w szczególności dla małych firm i konsumentów w Krajach Członkowskich.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Dostępne w Polsce cyfrowe serwisy muzyczne, takie jak iTunes, Apple Music,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Spotify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 czy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Deezer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, działają w całej Europie. W ramach swojej działalności ustanowiły lokalne przedstawicielstwa, oferujące on-line katalog lokalnych i międzynarodowych nagrań muzycznych, które świadcząc swoje usługi uwzględniają specyfikę danego rynku. W efekcie w </w:t>
      </w: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lastRenderedPageBreak/>
        <w:t xml:space="preserve">takich krajach, jak np. Polska, Bułgaria, Rumunia, Litwa, czy Łotwa, gdzie przychody konsumentów są znacznie niższe niż np. w Niemczech czy Francji a proceder nieautoryzowanego korzystania z muzyki w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internecie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 wysoki, serwisy te oferują swoje usługi po znacznie niższych cenach, aby móc uczynić je dostępnymi dla szerokiego kręgu konsumentów, którzy tym samym uzyskują dostęp do niezwykle bogatej i zróżnicowanej oferty muzycznej w bardzo przystępnej formie i cenie.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Jeżeli cyfrowe serwisy muzyczne zostałyby pozbawione możliwości oferowania korzystniejszych warunków w określonych krajach, potencjalnie duża liczba konsumentów, zainteresowanych korzystaniem z licencjonowanej muzyki, ale nie będących w stanie zapłacić wyższej ceny, nie mogłaby z takiej usługi skorzystać. W konsekwencji spowodowałoby to wzrost piractwa w tych krajach. Mogłoby również doprowadzić do zaniku oferty lokalnych serwisów na tych rynkach, co byłoby ze stratą dla europejskich konsumentów. W perspektywie długoterminowej mogłoby to skutkować generalnym zmniejszeniem  kulturowej różnorodności w Europie.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Rozszerzenie zakazu stosowania blokowania geograficznego może także odbić się negatywnie na działalności małych i średnich przedsiębiorstw w sektorach kreatywnych. Małe, lokalne wytwórnie płytowe często posiadają licencje tylko na kilka rynków i nie są w stanie licencjonować swojego katalogu na zasadach paneuropejskich.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Komisja dostrzegła tę specyfikę serwisów oferujących treści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prawnoautorskie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 i w art. 4 projektu Rozporządzenia wyłączyła je spod zakazu stosowania blokowania geograficznego. Zostało to potwierdzone w Podejściu Ogólnym Rady Europejskiej, uchwalonym 21 listopada 2016 roku, które podtrzymało wyłączenie serwisów z treściami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prawnoautorskimi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 xml:space="preserve"> z zakresu tego artykułu.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Z wyżej podanych powodów objęcie zakazem blokowania geograficznego usług muzycznych byłoby niezwykle szkodliwe dla cyfrowego rynku muzycznego i konsumentów w Europie, w tym w Polsce.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Obecnie konsumenci we wszystkich krajach UE mają do dyspozycji ponad 200 licencjonowanych cyfrowych serwisów muzycznych i 43 milionów utworów z krajowym i zagranicznym repertuarem. Włączenie serwisów muzycznych w zakres Rozporządzenia nie byłoby ułatwieniem dla europejskich konsumentów, a w niektórych krajach działałoby na ich niekorzyść.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pl-PL"/>
        </w:rPr>
        <w:t xml:space="preserve">Apelujemy zatem o poparcie rozwiązania zaproponowanego przez Komisję Europejską w projekcie Rozporządzenia i utrzymanie wyłączenia serwisów z treściami </w:t>
      </w:r>
      <w:proofErr w:type="spellStart"/>
      <w:r w:rsidRPr="008F24D6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pl-PL"/>
        </w:rPr>
        <w:t>prawnoautorskimi</w:t>
      </w:r>
      <w:proofErr w:type="spellEnd"/>
      <w:r w:rsidRPr="008F24D6">
        <w:rPr>
          <w:rFonts w:ascii="Calibri" w:eastAsia="Times New Roman" w:hAnsi="Calibri" w:cs="Helvetica"/>
          <w:color w:val="000000"/>
          <w:sz w:val="24"/>
          <w:szCs w:val="24"/>
          <w:u w:val="single"/>
          <w:lang w:eastAsia="pl-PL"/>
        </w:rPr>
        <w:t>, w tym muzyki, spod zakazu stosowania blokowania geograficznego.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Łączę wyrazy szacunku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color w:val="000000"/>
          <w:sz w:val="24"/>
          <w:szCs w:val="24"/>
          <w:lang w:eastAsia="pl-PL"/>
        </w:rPr>
        <w:t> 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b/>
          <w:bCs/>
          <w:color w:val="000000"/>
          <w:sz w:val="24"/>
          <w:szCs w:val="24"/>
          <w:lang w:eastAsia="pl-PL"/>
        </w:rPr>
        <w:t>Marek Staszewski</w:t>
      </w:r>
    </w:p>
    <w:p w:rsidR="008F24D6" w:rsidRPr="008F24D6" w:rsidRDefault="008F24D6" w:rsidP="008F24D6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Helvetica"/>
          <w:color w:val="000000"/>
          <w:lang w:eastAsia="pl-PL"/>
        </w:rPr>
      </w:pPr>
      <w:r w:rsidRPr="008F24D6">
        <w:rPr>
          <w:rFonts w:ascii="Calibri" w:eastAsia="Times New Roman" w:hAnsi="Calibri" w:cs="Helvetica"/>
          <w:b/>
          <w:bCs/>
          <w:color w:val="000000"/>
          <w:sz w:val="24"/>
          <w:szCs w:val="24"/>
          <w:lang w:eastAsia="pl-PL"/>
        </w:rPr>
        <w:t>Pełnomocnik Związku Producentów Audio Video</w:t>
      </w:r>
    </w:p>
    <w:p w:rsidR="008F24D6" w:rsidRPr="008F24D6" w:rsidRDefault="008F24D6" w:rsidP="008F24D6"/>
    <w:sectPr w:rsidR="008F24D6" w:rsidRPr="008F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D6"/>
    <w:rsid w:val="008F24D6"/>
    <w:rsid w:val="00C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D990-089A-4A8E-882C-2FC86D03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F2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4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ox-62eafb447d-msonormal">
    <w:name w:val="ox-62eafb447d-msonormal"/>
    <w:basedOn w:val="Normalny"/>
    <w:rsid w:val="008F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F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g.szeplewicz</dc:creator>
  <cp:keywords/>
  <dc:description/>
  <cp:lastModifiedBy>g.szeplewicz</cp:lastModifiedBy>
  <cp:revision>1</cp:revision>
  <dcterms:created xsi:type="dcterms:W3CDTF">2017-03-01T15:44:00Z</dcterms:created>
  <dcterms:modified xsi:type="dcterms:W3CDTF">2017-03-01T15:46:00Z</dcterms:modified>
</cp:coreProperties>
</file>